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FB500F">
      <w:pPr>
        <w:jc w:val="center"/>
        <w:rPr>
          <w:b/>
          <w:caps/>
        </w:rPr>
      </w:pPr>
      <w:r>
        <w:rPr>
          <w:b/>
          <w:caps/>
        </w:rPr>
        <w:t>Uchwała Nr XV/277/19</w:t>
      </w:r>
      <w:r>
        <w:rPr>
          <w:b/>
          <w:caps/>
        </w:rPr>
        <w:br/>
        <w:t>Rady Miasta Zduńska Wola</w:t>
      </w:r>
    </w:p>
    <w:p w:rsidR="00A77B3E" w:rsidRDefault="00FB500F">
      <w:pPr>
        <w:spacing w:before="40" w:after="280"/>
        <w:jc w:val="center"/>
        <w:rPr>
          <w:b/>
          <w:caps/>
        </w:rPr>
      </w:pPr>
      <w:r>
        <w:t>z dnia 24 października 2019 r.</w:t>
      </w:r>
    </w:p>
    <w:p w:rsidR="00A77B3E" w:rsidRDefault="00FB500F">
      <w:pPr>
        <w:keepNext/>
        <w:spacing w:after="240"/>
        <w:jc w:val="center"/>
      </w:pPr>
      <w:r>
        <w:rPr>
          <w:b/>
        </w:rPr>
        <w:t>w sprawie rozpatrzenia petycji</w:t>
      </w:r>
    </w:p>
    <w:p w:rsidR="00A77B3E" w:rsidRDefault="00FB500F">
      <w:pPr>
        <w:keepLines/>
        <w:spacing w:before="120" w:after="120"/>
        <w:ind w:firstLine="227"/>
      </w:pPr>
      <w:r>
        <w:t>Na podstawie art. 18 ust. 2 pkt 15 ustawy z dnia 8 marca 1990 r. o samorządzie gminnym</w:t>
      </w:r>
      <w:r>
        <w:br/>
        <w:t xml:space="preserve">(Dz. U. z 2019 r. poz. 506, 1309, 1571, 1696 i 1815) oraz </w:t>
      </w:r>
      <w:r>
        <w:t>art. 9 ust. 2 i art. 13 ustawy z dnia 11 lipca 2014 r. o petycjach (Dz. U. z 2018 r. poz. 870) uchwala się, co następuje:</w:t>
      </w:r>
    </w:p>
    <w:p w:rsidR="00A77B3E" w:rsidRDefault="00FB50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Uznaje się, że petycja </w:t>
      </w:r>
      <w:r w:rsidRPr="00C372F4">
        <w:rPr>
          <w:color w:val="FFFFFF" w:themeColor="background1"/>
        </w:rPr>
        <w:t xml:space="preserve">Konrada Cezarego Łakomego </w:t>
      </w:r>
      <w:r>
        <w:t>wniesiona w dniu 30 lipca 2019 r., uzupełniona pismem z dnia 21 sierpnia 2019 r.</w:t>
      </w:r>
      <w:r>
        <w:t xml:space="preserve"> dotycząca wprowadzenia Polityki Zarządzania Konfliktem Interesów nie zasługuje na uwzględnienie, z przyczyn wskazanych w uzasadnieniu stanowiącym załącznik do uchwały.</w:t>
      </w:r>
    </w:p>
    <w:p w:rsidR="00A77B3E" w:rsidRDefault="00FB50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Zobowiązuje się Przewodniczącego Rady Miasta do zawiadomienia wnoszącego petycję o</w:t>
      </w:r>
      <w:r>
        <w:rPr>
          <w:color w:val="000000"/>
          <w:u w:color="000000"/>
        </w:rPr>
        <w:t xml:space="preserve"> sposobie jej załatwienia. </w:t>
      </w:r>
    </w:p>
    <w:p w:rsidR="00A77B3E" w:rsidRDefault="00FB50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Uchwała wchodzi w życie z dniem podjęcia.</w:t>
      </w:r>
    </w:p>
    <w:p w:rsidR="00A77B3E" w:rsidRDefault="00FB500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tablicach ogłoszeń w Zduńskiej Woli w Urzędzie Miasta oraz w Pasażu Powstańców Śląskich i przy</w:t>
      </w:r>
      <w:r>
        <w:rPr>
          <w:color w:val="000000"/>
          <w:u w:color="000000"/>
        </w:rPr>
        <w:br/>
        <w:t xml:space="preserve">ul. </w:t>
      </w:r>
      <w:r>
        <w:rPr>
          <w:color w:val="000000"/>
          <w:u w:color="000000"/>
        </w:rPr>
        <w:t>1-go Maja, a także poprzez zamieszczenie jej treści na stronie Biuletynu Informacji Publicznej Urzędu Miasta Zduńska Wola.</w:t>
      </w:r>
    </w:p>
    <w:p w:rsidR="00A77B3E" w:rsidRDefault="00FB500F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FB500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E0DD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DD7" w:rsidRDefault="009E0DD7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DD7" w:rsidRDefault="00FB500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Miasta Zduńska Wola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Jakub </w:t>
            </w:r>
            <w:proofErr w:type="spellStart"/>
            <w:r>
              <w:rPr>
                <w:b/>
              </w:rPr>
              <w:t>Trenkner</w:t>
            </w:r>
            <w:proofErr w:type="spellEnd"/>
          </w:p>
        </w:tc>
      </w:tr>
    </w:tbl>
    <w:p w:rsidR="00A77B3E" w:rsidRDefault="00FB500F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134" w:right="1020" w:bottom="850" w:left="1020" w:header="708" w:footer="708" w:gutter="0"/>
          <w:cols w:space="708"/>
          <w:docGrid w:linePitch="360"/>
        </w:sectPr>
      </w:pPr>
    </w:p>
    <w:p w:rsidR="00A77B3E" w:rsidRDefault="00FB500F">
      <w:pPr>
        <w:spacing w:before="120" w:after="120"/>
        <w:ind w:left="554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 do uchwały nr XV/277/19</w:t>
      </w:r>
      <w:r>
        <w:rPr>
          <w:color w:val="000000"/>
          <w:u w:color="000000"/>
        </w:rPr>
        <w:br/>
        <w:t>Rady Miasta Zduńska Wola</w:t>
      </w:r>
      <w:r>
        <w:rPr>
          <w:color w:val="000000"/>
          <w:u w:color="000000"/>
        </w:rPr>
        <w:br/>
        <w:t>z dnia 24 października 2019 r.</w:t>
      </w:r>
    </w:p>
    <w:p w:rsidR="00A77B3E" w:rsidRDefault="00FB500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>Uzasadnienie</w:t>
      </w:r>
    </w:p>
    <w:p w:rsidR="00A77B3E" w:rsidRDefault="00FB500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dniu 30 lipca 2019 r. wpłynęła do Urzędu Miasta</w:t>
      </w:r>
      <w:r>
        <w:rPr>
          <w:color w:val="000000"/>
          <w:u w:color="000000"/>
        </w:rPr>
        <w:t xml:space="preserve"> Zduńska Wola petycja złożona przez radcę prawnego </w:t>
      </w:r>
      <w:r w:rsidRPr="00C372F4">
        <w:rPr>
          <w:color w:val="FFFFFF" w:themeColor="background1"/>
          <w:u w:color="000000"/>
        </w:rPr>
        <w:t>Konrada Cezarego Łakomego CASUS NOSTER Kancelaria Radcy Prawnego Konrad Cezary Łakomy</w:t>
      </w:r>
      <w:r>
        <w:rPr>
          <w:color w:val="000000"/>
          <w:u w:color="000000"/>
        </w:rPr>
        <w:t>, który wystąpił w interesie publicznym w sprawie wprowadzenia wśród radnych Polityki Zarządzania Konfliktem Interesów z</w:t>
      </w:r>
      <w:r>
        <w:rPr>
          <w:color w:val="000000"/>
          <w:u w:color="000000"/>
        </w:rPr>
        <w:t xml:space="preserve">godnie z zaleceniami Centralnego Biura Antykorupcyjnego zawartymi w dokumencie pt. „Korupcja Polityczna. Wskazówki dla przedstawicieli </w:t>
      </w:r>
      <w:bookmarkStart w:id="0" w:name="_GoBack"/>
      <w:bookmarkEnd w:id="0"/>
      <w:r>
        <w:rPr>
          <w:color w:val="000000"/>
          <w:u w:color="000000"/>
        </w:rPr>
        <w:t>organów władzy wybieranych w wyborach powszechnych”, opublikowania jej treści</w:t>
      </w:r>
      <w:r>
        <w:rPr>
          <w:color w:val="000000"/>
          <w:u w:color="000000"/>
        </w:rPr>
        <w:br/>
        <w:t>na administrowanej w Urzędzie Miasta stroni</w:t>
      </w:r>
      <w:r>
        <w:rPr>
          <w:color w:val="000000"/>
          <w:u w:color="000000"/>
        </w:rPr>
        <w:t>e BIP, wyznaczenie osoby odpowiedzialnej</w:t>
      </w:r>
      <w:r>
        <w:rPr>
          <w:color w:val="000000"/>
          <w:u w:color="000000"/>
        </w:rPr>
        <w:br/>
        <w:t>za egzekwowanie tej polityki, wprowadzenie mechanizmu kontroli naruszeń wspomnianej polityki oraz ustanowienie konsekwencji za nieprzestrzeganie Polityki Zarządzania Konfliktem Interesów, uzupełniona pismem z dnia 2</w:t>
      </w:r>
      <w:r>
        <w:rPr>
          <w:color w:val="000000"/>
          <w:u w:color="000000"/>
        </w:rPr>
        <w:t>1 sierpnia 2019 r.</w:t>
      </w:r>
    </w:p>
    <w:p w:rsidR="00A77B3E" w:rsidRDefault="00FB500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§ 60 ust. 2 Statutu Miasta Zduńska Wola Przewodniczący Rady Miasta przekazał skargę do Komisji Skarg, Wniosków i Petycji celem jej rozpatrzenia.</w:t>
      </w:r>
    </w:p>
    <w:p w:rsidR="00A77B3E" w:rsidRDefault="00FB500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Komisja Skarg, Wniosków i Petycji na posiedzeniach w dniach 17 września br. i 1</w:t>
      </w:r>
      <w:r>
        <w:rPr>
          <w:color w:val="000000"/>
          <w:u w:color="000000"/>
        </w:rPr>
        <w:t>0 października</w:t>
      </w:r>
      <w:r>
        <w:rPr>
          <w:color w:val="000000"/>
          <w:u w:color="000000"/>
        </w:rPr>
        <w:br/>
        <w:t>br. dokonała analizy treści złożonej petycji oraz zapoznała się ze stanowiskiem prawnym i zaproponowała swoje stanowisko w przedmiotowej sprawie.</w:t>
      </w:r>
    </w:p>
    <w:p w:rsidR="00A77B3E" w:rsidRDefault="00FB500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 zapoznaniu się ze stanowiskiem Komisji Skarg, Wniosków i Petycji, Rada Miasta Zduńska Wola p</w:t>
      </w:r>
      <w:r>
        <w:rPr>
          <w:color w:val="000000"/>
          <w:u w:color="000000"/>
        </w:rPr>
        <w:t>ostanawia uznać wniesioną petycję za bezpodstawną.</w:t>
      </w:r>
    </w:p>
    <w:p w:rsidR="00A77B3E" w:rsidRDefault="00FB500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Dokonując analizy przedmiotowej petycji zauważyć należy, że opracowanie Centralnego Biura Antykorupcyjnego pt. „Korupcja Polityczna. Wskazówki dla przedstawicieli organów władzy wybieranych w wyborach pows</w:t>
      </w:r>
      <w:r>
        <w:rPr>
          <w:color w:val="000000"/>
          <w:u w:color="000000"/>
        </w:rPr>
        <w:t>zechnych” stanowi wskazówki dla przedstawicieli organów władzy</w:t>
      </w:r>
      <w:r>
        <w:rPr>
          <w:color w:val="000000"/>
          <w:u w:color="000000"/>
        </w:rPr>
        <w:br/>
        <w:t>co do sposobu postępowania, które winno być zgodne z obowiązującymi standardami etycznymi</w:t>
      </w:r>
      <w:r>
        <w:rPr>
          <w:color w:val="000000"/>
          <w:u w:color="000000"/>
        </w:rPr>
        <w:br/>
        <w:t>i przepisami prawa.</w:t>
      </w:r>
    </w:p>
    <w:p w:rsidR="00A77B3E" w:rsidRDefault="00FB500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Zagadnienia w zakresie korupcji, konfliktu interesów, a także sankcji za ich narusz</w:t>
      </w:r>
      <w:r>
        <w:rPr>
          <w:color w:val="000000"/>
          <w:u w:color="000000"/>
        </w:rPr>
        <w:t>enie określają przepisy prawa, a w szczególności ustawa z dnia 8 marca 1990 r. o samorządzie gminnym</w:t>
      </w:r>
      <w:r>
        <w:rPr>
          <w:color w:val="000000"/>
          <w:u w:color="000000"/>
        </w:rPr>
        <w:br/>
        <w:t>(Dz. U. 2019 r. poz. 506, 1309, 1571, 1696 i 1815), ustawa z dnia 6 czerwca 1997 r. - Kodeks karny (Dz. U. z 2018 r. poz. 1600 i 2077 oraz z 2019 r. poz. 7</w:t>
      </w:r>
      <w:r>
        <w:rPr>
          <w:color w:val="000000"/>
          <w:u w:color="000000"/>
        </w:rPr>
        <w:t>30, 858, 870, 1135 i 1579), ustawa z dnia 21 sierpnia 1997 r. o ograniczeniu prowadzenia działalności gospodarczej przez osoby pełniące funkcje publiczne (Dz. U. z 2017 r. poz. 1393 i z 2019 r. poz. 371 i 492).</w:t>
      </w:r>
    </w:p>
    <w:p w:rsidR="00A77B3E" w:rsidRDefault="00FB500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Należy wskazać, iż Rada Miasta działa na pods</w:t>
      </w:r>
      <w:r>
        <w:rPr>
          <w:color w:val="000000"/>
          <w:u w:color="000000"/>
        </w:rPr>
        <w:t>tawie i w granicach prawa, a podstawa prawna podejmowanych przez Radę Miasta uchwał winna wynikać wprost z obowiązujących przepisów prawa.</w:t>
      </w:r>
    </w:p>
    <w:p w:rsidR="00A77B3E" w:rsidRDefault="00FB500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Organ stanowiący jakim jest Rada Miasta nie posiada kompetencji do wyznaczenia osoby odpowiedzialnej za egzekwowanie </w:t>
      </w:r>
      <w:r>
        <w:rPr>
          <w:color w:val="000000"/>
          <w:u w:color="000000"/>
        </w:rPr>
        <w:t>wspomnianej polityki, wprowadzenia mechanizmu kontroli naruszeń tej polityki czy też wskazywania konsekwencji za zachowania radnych, które uregulowane</w:t>
      </w:r>
      <w:r>
        <w:rPr>
          <w:color w:val="000000"/>
          <w:u w:color="000000"/>
        </w:rPr>
        <w:br/>
        <w:t>są w przepisach wyższego rzędu, czyli w ustawach. Tworzenie więc aktu o charakterze deklaratoryjnym w tym</w:t>
      </w:r>
      <w:r>
        <w:rPr>
          <w:color w:val="000000"/>
          <w:u w:color="000000"/>
        </w:rPr>
        <w:t xml:space="preserve"> przypadku należy uznać za zbędne.</w:t>
      </w:r>
    </w:p>
    <w:p w:rsidR="00A77B3E" w:rsidRDefault="00FB500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Mając powyższe na uwadze, Rada Miasta Zduńska Wola postanowiła uznać, iż przedmiotowa petycja nie zasługuje na uwzględnienie.</w:t>
      </w:r>
    </w:p>
    <w:p w:rsidR="00A77B3E" w:rsidRDefault="00FB500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Niniejsza uchwała wraz z załącznikiem stanowi zawiadomienie o sposobie załatwienia petycji w ro</w:t>
      </w:r>
      <w:r>
        <w:rPr>
          <w:color w:val="000000"/>
          <w:u w:color="000000"/>
        </w:rPr>
        <w:t>zumieniu art. 13 ust. 1 ustawy z dnia 11 lipca 2014 r. o petycjach (Dz. U. z 2018 r. poz. 870).</w:t>
      </w:r>
    </w:p>
    <w:sectPr w:rsidR="00A77B3E">
      <w:footerReference w:type="default" r:id="rId7"/>
      <w:endnotePr>
        <w:numFmt w:val="decimal"/>
      </w:endnotePr>
      <w:pgSz w:w="11906" w:h="16838"/>
      <w:pgMar w:top="1134" w:right="1020" w:bottom="850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00F" w:rsidRDefault="00FB500F">
      <w:r>
        <w:separator/>
      </w:r>
    </w:p>
  </w:endnote>
  <w:endnote w:type="continuationSeparator" w:id="0">
    <w:p w:rsidR="00FB500F" w:rsidRDefault="00FB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0DD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E0DD7" w:rsidRDefault="00FB500F">
          <w:pPr>
            <w:jc w:val="left"/>
            <w:rPr>
              <w:sz w:val="20"/>
            </w:rPr>
          </w:pPr>
          <w:r>
            <w:rPr>
              <w:sz w:val="20"/>
            </w:rPr>
            <w:t>Id: 6F3C059D-FA63-497C-9F91-D8936126316D.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E0DD7" w:rsidRDefault="00FB500F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 w:rsidR="00644EDD">
            <w:rPr>
              <w:sz w:val="20"/>
            </w:rPr>
            <w:fldChar w:fldCharType="separate"/>
          </w:r>
          <w:r w:rsidR="00C372F4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 w:rsidR="00644EDD">
            <w:rPr>
              <w:sz w:val="20"/>
            </w:rPr>
            <w:fldChar w:fldCharType="separate"/>
          </w:r>
          <w:r w:rsidR="00C372F4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9E0DD7" w:rsidRDefault="009E0DD7">
    <w:pPr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0DD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E0DD7" w:rsidRDefault="00FB500F">
          <w:pPr>
            <w:jc w:val="left"/>
            <w:rPr>
              <w:sz w:val="20"/>
            </w:rPr>
          </w:pPr>
          <w:r>
            <w:rPr>
              <w:sz w:val="20"/>
            </w:rPr>
            <w:t>Id: 6F3C059D-FA63-497C-9F91-D8936126316D.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E0DD7" w:rsidRDefault="00FB500F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 w:rsidR="00644EDD">
            <w:rPr>
              <w:sz w:val="20"/>
            </w:rPr>
            <w:fldChar w:fldCharType="separate"/>
          </w:r>
          <w:r w:rsidR="00C372F4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 w:rsidR="00644EDD">
            <w:rPr>
              <w:sz w:val="20"/>
            </w:rPr>
            <w:fldChar w:fldCharType="separate"/>
          </w:r>
          <w:r w:rsidR="00C372F4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9E0DD7" w:rsidRDefault="009E0DD7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00F" w:rsidRDefault="00FB500F">
      <w:r>
        <w:separator/>
      </w:r>
    </w:p>
  </w:footnote>
  <w:footnote w:type="continuationSeparator" w:id="0">
    <w:p w:rsidR="00FB500F" w:rsidRDefault="00FB5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D7"/>
    <w:rsid w:val="00644EDD"/>
    <w:rsid w:val="009E0DD7"/>
    <w:rsid w:val="00C372F4"/>
    <w:rsid w:val="00FB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BC4A70-9E59-470A-9904-504BC65A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XV/277/19 z dnia 24 października 2019 r.</dc:title>
  <dc:subject>w sprawie rozpatrzenia petycji</dc:subject>
  <dc:creator>j.ksiazyk</dc:creator>
  <cp:lastModifiedBy>Karolina Klimkowska</cp:lastModifiedBy>
  <cp:revision>2</cp:revision>
  <dcterms:created xsi:type="dcterms:W3CDTF">2019-11-14T09:18:00Z</dcterms:created>
  <dcterms:modified xsi:type="dcterms:W3CDTF">2019-11-14T09:18:00Z</dcterms:modified>
  <cp:category>Akt prawny</cp:category>
</cp:coreProperties>
</file>