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6D" w:rsidRDefault="00E23B6D" w:rsidP="00E23B6D">
      <w:pPr>
        <w:suppressAutoHyphens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 kontroli na 2019 rok</w:t>
      </w:r>
    </w:p>
    <w:p w:rsidR="00E23B6D" w:rsidRDefault="00E23B6D" w:rsidP="00E23B6D">
      <w:pPr>
        <w:suppressAutoHyphens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(po korekcie)</w:t>
      </w:r>
    </w:p>
    <w:p w:rsidR="00E23B6D" w:rsidRDefault="00E23B6D" w:rsidP="00E23B6D">
      <w:pPr>
        <w:suppressAutoHyphens w:val="0"/>
        <w:jc w:val="center"/>
      </w:pPr>
    </w:p>
    <w:tbl>
      <w:tblPr>
        <w:tblW w:w="9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3094"/>
        <w:gridCol w:w="1406"/>
        <w:gridCol w:w="1287"/>
        <w:gridCol w:w="1479"/>
      </w:tblGrid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Podmiot kontroli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Temat kontroli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kontroli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Przewidywany termin przeprowadzenia kontroli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kontrolująca / komórka organizacyjna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Kluby sportowe prowadzące działalność sportową na terenie Miasta Zduńska Wola niedziałające w celu osiągnięcia zysku i niezaliczane do sektora finansów publicznych</w:t>
            </w:r>
          </w:p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Bieżąca kontrola merytoryczna wydatkowania i rozliczania dotacji udzielonej z budżetu Miasta (ocena stanu realizacji zadania, efektywności i rzetelności wykonania zadania, prawidłowości wykorzystania środków publicznych oraz prowadzenia dokumentacji finansowo – księgowej)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 -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 i Sportu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E23B6D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E23B6D">
              <w:rPr>
                <w:sz w:val="22"/>
                <w:szCs w:val="22"/>
              </w:rPr>
              <w:t>TBS „Złotnicki” Sp. z o. 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E23B6D">
              <w:rPr>
                <w:sz w:val="22"/>
                <w:szCs w:val="22"/>
              </w:rPr>
              <w:t>Zasadność zajmowania wybranych lokali wchodzących w skład mieszkaniowego zasobu Miasta Zduńska Wola w kontekście przepisów ustawy z dnia 21 czerwca 2001 r. o ochronie praw lokatorów, mieszkaniowym zasobie gminy i o zmianie Kodeksu cywilnego, dotyczących wypowiadania umów najmu ze względu na niezamieszkiwanie najemcy.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E23B6D"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E23B6D">
              <w:rPr>
                <w:sz w:val="22"/>
                <w:szCs w:val="22"/>
              </w:rPr>
              <w:t>II półrocze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E23B6D">
              <w:rPr>
                <w:sz w:val="22"/>
                <w:szCs w:val="22"/>
              </w:rPr>
              <w:t>Biuro Gospodarki Lokalowej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E23B6D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E23B6D">
              <w:rPr>
                <w:sz w:val="22"/>
                <w:szCs w:val="22"/>
              </w:rPr>
              <w:t>TBS „Złotnicki” Sp. z o. 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E23B6D">
              <w:rPr>
                <w:sz w:val="22"/>
                <w:szCs w:val="22"/>
              </w:rPr>
              <w:t>Prawidłowość potwierdzania w 2018 roku przez Towarzystwo Budownictwa Społecznego „Złotnicki” spółka z ograniczoną odpowiedzialnością w Zduńskiej Woli danych we wnioskach o przyznanie dodatku mieszkaniowego.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E23B6D"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E23B6D">
              <w:rPr>
                <w:sz w:val="22"/>
                <w:szCs w:val="22"/>
              </w:rPr>
              <w:t>II półrocze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E23B6D">
              <w:rPr>
                <w:sz w:val="22"/>
                <w:szCs w:val="22"/>
              </w:rPr>
              <w:t>Biuro Gospodarki Lokalowej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TBS „Złotnicki” Sp. z o. 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Właściwe utrzymanie w należytym stanie technicznym i estetycznym przedmiotu dzierżawy oddanego do użytkowania i pobierania </w:t>
            </w:r>
          </w:p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pożytków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 – wrzesień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Gospodarki </w:t>
            </w:r>
            <w:proofErr w:type="spellStart"/>
            <w:r>
              <w:rPr>
                <w:sz w:val="22"/>
                <w:szCs w:val="22"/>
              </w:rPr>
              <w:t>Nieruchomoś-ciami</w:t>
            </w:r>
            <w:proofErr w:type="spellEnd"/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5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rozliczeń podatku od towarów i usług z uwzględnieniem realizacji prawa do odliczenia podatku </w:t>
            </w:r>
            <w:r>
              <w:rPr>
                <w:sz w:val="22"/>
                <w:szCs w:val="22"/>
              </w:rPr>
              <w:lastRenderedPageBreak/>
              <w:t>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9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wykonania zaleceń pokontrolnych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11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4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5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sierpień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7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10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Szkoła Podstawowa nr 11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listopad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Szkoła Podstawowa nr 13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Organizacje pozarządowe i inne podmioty prowadzące działalność pożytku publicznego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Prawidłowość wydatkowania dotacji otrzymanych w wyniku podpisanych umów na realizację zadań publicznych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problemowo -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kwiecień -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Programów Zdrowotnych i Spraw Społecznych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Żłobki, kluby dziecięce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Nadzór nad żłobkami, klubami w zakresie warunków i jakości świadczonej opieki zgodnie z przyjętą przez Radę Miasta Zduńska Wola uchwałą Nr LIII/565/18 z dnia 23 lutego </w:t>
            </w:r>
            <w:r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lastRenderedPageBreak/>
              <w:t>2018 r. w sprawie przyjęcia planu nadzoru nad żłobkami i klubami dziecięcymi działającymi na terenie Miasta Zduńska Wola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23B6D" w:rsidRDefault="00E23B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</w:t>
            </w:r>
          </w:p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Programów Zdrowotnych i Spraw Społecznych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Miejski Ośrodek Pomocy Społecznej  Centrum Opieki Socjalnej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Kontrola realizacji zadania Punktu ds. Przemocy w Rodzinie i Świetlicy Środowiskowej Zduńskowolskie Centrum Integracji realizowanych przez MOPSCOS w ramach </w:t>
            </w:r>
            <w:proofErr w:type="spellStart"/>
            <w:r>
              <w:rPr>
                <w:bCs/>
                <w:sz w:val="22"/>
                <w:szCs w:val="22"/>
              </w:rPr>
              <w:t>MPPiRPA</w:t>
            </w:r>
            <w:proofErr w:type="spellEnd"/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 –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Programów Zdrowotnych i Spraw Społecznych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Samodzielny Publiczny Zakład Podstawowej Opieki Zdrowotnej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Prawidłowość wykonania zakresu umów i przyznanych dotacji przez Urząd Miasta Zduńska Wola na realizację programów profilaktycznych i zdrowotnych przez SPZPOZ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 –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Programów Zdrowotnych i Spraw Społecznych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Żłobki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Prawidłowość wykorzystania dotacji celowej przyznanej żłobkowi na sprawowanie opieki nad dziećmi zgodnie z podpisaną umową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 –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Programów Zdrowotnych i Spraw Społecznych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Placówki wsparcia dziennego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Kontrola warunków i jakości świadczonej opieki w placówkach wsparcia dziennego, zgodnie z zapisami art. 28a ustawy z dnia 9 czerwca 2011 r. o wspieraniu rodziny i systemie pieczy zastępczej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 – grudzień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Programów Zdrowotnych i Spraw Społecznych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Szkoła Podstawowa Nr 4 </w:t>
            </w:r>
          </w:p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Szkoła Podstawowa </w:t>
            </w:r>
          </w:p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 5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Funkcjonowanie środowiska wewnętrznego i mechanizmów kontroli na przykładzie polityki rachunkowości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problemowo – finansowa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Default="00E23B6D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E23B6D">
              <w:rPr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E23B6D">
              <w:rPr>
                <w:i/>
                <w:color w:val="000000"/>
                <w:sz w:val="22"/>
                <w:szCs w:val="22"/>
              </w:rPr>
              <w:t>Szkoła Podstawowa Nr 9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E23B6D">
              <w:rPr>
                <w:bCs/>
                <w:i/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jc w:val="both"/>
              <w:rPr>
                <w:i/>
                <w:sz w:val="22"/>
                <w:szCs w:val="22"/>
              </w:rPr>
            </w:pPr>
            <w:r w:rsidRPr="00E23B6D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E23B6D">
              <w:rPr>
                <w:i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i/>
                <w:sz w:val="22"/>
                <w:szCs w:val="22"/>
              </w:rPr>
            </w:pPr>
            <w:r w:rsidRPr="00E23B6D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E23B6D">
              <w:rPr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E23B6D">
              <w:rPr>
                <w:i/>
                <w:color w:val="000000"/>
                <w:sz w:val="22"/>
                <w:szCs w:val="22"/>
              </w:rPr>
              <w:t>Szkoła Podstawowa Nr 12</w:t>
            </w:r>
          </w:p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E23B6D">
              <w:rPr>
                <w:i/>
                <w:color w:val="000000"/>
                <w:sz w:val="22"/>
                <w:szCs w:val="22"/>
              </w:rPr>
              <w:t>Szkoła Podstawowa Nr 13</w:t>
            </w:r>
          </w:p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E23B6D">
              <w:rPr>
                <w:i/>
                <w:color w:val="000000"/>
                <w:sz w:val="22"/>
                <w:szCs w:val="22"/>
              </w:rPr>
              <w:t>Publiczne Przedszkole Nr 4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E23B6D">
              <w:rPr>
                <w:bCs/>
                <w:i/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jc w:val="both"/>
              <w:rPr>
                <w:i/>
                <w:sz w:val="22"/>
                <w:szCs w:val="22"/>
              </w:rPr>
            </w:pPr>
            <w:r w:rsidRPr="00E23B6D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E23B6D">
              <w:rPr>
                <w:i/>
                <w:color w:val="000000"/>
                <w:sz w:val="22"/>
                <w:szCs w:val="22"/>
              </w:rPr>
              <w:t xml:space="preserve">wrzesień – październik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i/>
                <w:sz w:val="22"/>
                <w:szCs w:val="22"/>
              </w:rPr>
            </w:pPr>
            <w:r w:rsidRPr="00E23B6D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E23B6D" w:rsidTr="00E23B6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E23B6D">
              <w:rPr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E23B6D">
              <w:rPr>
                <w:i/>
                <w:color w:val="000000"/>
                <w:sz w:val="22"/>
                <w:szCs w:val="22"/>
              </w:rPr>
              <w:t xml:space="preserve">Publiczne Przedszkole Nr </w:t>
            </w:r>
            <w:r w:rsidRPr="00E23B6D">
              <w:rPr>
                <w:i/>
                <w:color w:val="000000"/>
                <w:sz w:val="22"/>
                <w:szCs w:val="22"/>
              </w:rPr>
              <w:t>6</w:t>
            </w:r>
          </w:p>
          <w:p w:rsidR="00E23B6D" w:rsidRPr="00E23B6D" w:rsidRDefault="00E23B6D" w:rsidP="00E23B6D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E23B6D">
              <w:rPr>
                <w:i/>
                <w:color w:val="000000"/>
                <w:sz w:val="22"/>
                <w:szCs w:val="22"/>
              </w:rPr>
              <w:t xml:space="preserve">Publiczne Przedszkole Nr </w:t>
            </w:r>
            <w:r w:rsidRPr="00E23B6D">
              <w:rPr>
                <w:i/>
                <w:color w:val="000000"/>
                <w:sz w:val="22"/>
                <w:szCs w:val="22"/>
              </w:rPr>
              <w:t>7</w:t>
            </w:r>
          </w:p>
          <w:p w:rsidR="00E23B6D" w:rsidRPr="00E23B6D" w:rsidRDefault="00E23B6D" w:rsidP="00E23B6D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E23B6D">
              <w:rPr>
                <w:i/>
                <w:color w:val="000000"/>
                <w:sz w:val="22"/>
                <w:szCs w:val="22"/>
              </w:rPr>
              <w:t>Publiczne Przedszkole Nr 10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bCs/>
                <w:i/>
                <w:sz w:val="22"/>
                <w:szCs w:val="22"/>
              </w:rPr>
            </w:pPr>
            <w:r w:rsidRPr="00E23B6D">
              <w:rPr>
                <w:bCs/>
                <w:i/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jc w:val="both"/>
              <w:rPr>
                <w:i/>
                <w:sz w:val="22"/>
                <w:szCs w:val="22"/>
              </w:rPr>
            </w:pPr>
            <w:r w:rsidRPr="00E23B6D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E23B6D">
              <w:rPr>
                <w:i/>
                <w:color w:val="000000"/>
                <w:sz w:val="22"/>
                <w:szCs w:val="22"/>
              </w:rPr>
              <w:t xml:space="preserve">listopad – grudzień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3B6D" w:rsidRPr="00E23B6D" w:rsidRDefault="00E23B6D">
            <w:pPr>
              <w:pStyle w:val="Zawartotabeli"/>
              <w:suppressAutoHyphens w:val="0"/>
              <w:snapToGrid w:val="0"/>
              <w:jc w:val="both"/>
              <w:rPr>
                <w:i/>
                <w:sz w:val="22"/>
                <w:szCs w:val="22"/>
              </w:rPr>
            </w:pPr>
            <w:r w:rsidRPr="00E23B6D">
              <w:rPr>
                <w:i/>
                <w:sz w:val="22"/>
                <w:szCs w:val="22"/>
              </w:rPr>
              <w:t>Biuro Audytu i Kontroli</w:t>
            </w:r>
          </w:p>
        </w:tc>
      </w:tr>
    </w:tbl>
    <w:p w:rsidR="00E23B6D" w:rsidRDefault="00E23B6D" w:rsidP="00E23B6D">
      <w:pPr>
        <w:suppressAutoHyphens w:val="0"/>
        <w:ind w:left="675" w:hanging="720"/>
        <w:jc w:val="both"/>
        <w:rPr>
          <w:rFonts w:ascii="Georgia" w:hAnsi="Georgia" w:cs="Georgia"/>
          <w:spacing w:val="-6"/>
        </w:rPr>
      </w:pPr>
    </w:p>
    <w:p w:rsidR="005B296E" w:rsidRDefault="005B296E" w:rsidP="00E23B6D">
      <w:pPr>
        <w:suppressAutoHyphens w:val="0"/>
        <w:ind w:left="675" w:hanging="720"/>
        <w:jc w:val="both"/>
        <w:rPr>
          <w:rFonts w:ascii="Georgia" w:hAnsi="Georgia" w:cs="Georgia"/>
          <w:spacing w:val="-6"/>
        </w:rPr>
      </w:pPr>
    </w:p>
    <w:p w:rsidR="005B296E" w:rsidRDefault="005B296E" w:rsidP="00E23B6D">
      <w:pPr>
        <w:suppressAutoHyphens w:val="0"/>
        <w:ind w:left="675" w:hanging="720"/>
        <w:jc w:val="both"/>
        <w:rPr>
          <w:rFonts w:ascii="Georgia" w:hAnsi="Georgia" w:cs="Georgia"/>
          <w:spacing w:val="-6"/>
        </w:rPr>
      </w:pPr>
    </w:p>
    <w:p w:rsidR="00E23B6D" w:rsidRDefault="00E23B6D" w:rsidP="00E23B6D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lastRenderedPageBreak/>
        <w:t xml:space="preserve">dnia: </w:t>
      </w:r>
      <w:r w:rsidR="005B296E">
        <w:rPr>
          <w:spacing w:val="-6"/>
          <w:sz w:val="22"/>
          <w:szCs w:val="22"/>
        </w:rPr>
        <w:t>04</w:t>
      </w:r>
      <w:r>
        <w:rPr>
          <w:spacing w:val="-6"/>
          <w:sz w:val="22"/>
          <w:szCs w:val="22"/>
        </w:rPr>
        <w:t xml:space="preserve"> </w:t>
      </w:r>
      <w:r w:rsidR="005B296E">
        <w:rPr>
          <w:spacing w:val="-6"/>
          <w:sz w:val="22"/>
          <w:szCs w:val="22"/>
        </w:rPr>
        <w:t>lipca</w:t>
      </w:r>
      <w:bookmarkStart w:id="0" w:name="_GoBack"/>
      <w:bookmarkEnd w:id="0"/>
      <w:r>
        <w:rPr>
          <w:spacing w:val="-6"/>
          <w:sz w:val="22"/>
          <w:szCs w:val="22"/>
        </w:rPr>
        <w:t xml:space="preserve"> 2019 roku</w:t>
      </w:r>
    </w:p>
    <w:p w:rsidR="00E23B6D" w:rsidRDefault="00E23B6D" w:rsidP="00E23B6D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E23B6D" w:rsidRDefault="00E23B6D" w:rsidP="00E23B6D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E23B6D" w:rsidRDefault="00E23B6D" w:rsidP="00E23B6D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E23B6D" w:rsidRDefault="00E23B6D" w:rsidP="00E23B6D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E23B6D" w:rsidRDefault="00E23B6D" w:rsidP="00E23B6D">
      <w:pPr>
        <w:suppressAutoHyphens w:val="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...............................................      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>...............................................</w:t>
      </w:r>
    </w:p>
    <w:p w:rsidR="00E23B6D" w:rsidRDefault="00E23B6D" w:rsidP="00E23B6D">
      <w:pPr>
        <w:suppressAutoHyphens w:val="0"/>
        <w:ind w:left="675" w:hanging="720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      osoba sporządzająca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podpis Prezydenta Miasta</w:t>
      </w:r>
    </w:p>
    <w:p w:rsidR="00E23B6D" w:rsidRDefault="00E23B6D" w:rsidP="00E23B6D"/>
    <w:p w:rsidR="001564AA" w:rsidRPr="00E23B6D" w:rsidRDefault="001564AA" w:rsidP="00E23B6D"/>
    <w:sectPr w:rsidR="001564AA" w:rsidRPr="00E23B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3D" w:rsidRDefault="00A3403D" w:rsidP="00A3403D">
      <w:r>
        <w:separator/>
      </w:r>
    </w:p>
  </w:endnote>
  <w:endnote w:type="continuationSeparator" w:id="0">
    <w:p w:rsidR="00A3403D" w:rsidRDefault="00A3403D" w:rsidP="00A3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396809"/>
      <w:docPartObj>
        <w:docPartGallery w:val="Page Numbers (Bottom of Page)"/>
        <w:docPartUnique/>
      </w:docPartObj>
    </w:sdtPr>
    <w:sdtEndPr/>
    <w:sdtContent>
      <w:p w:rsidR="00A3403D" w:rsidRDefault="00A340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96E">
          <w:rPr>
            <w:noProof/>
          </w:rPr>
          <w:t>4</w:t>
        </w:r>
        <w:r>
          <w:fldChar w:fldCharType="end"/>
        </w:r>
      </w:p>
    </w:sdtContent>
  </w:sdt>
  <w:p w:rsidR="00A3403D" w:rsidRDefault="00A340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3D" w:rsidRDefault="00A3403D" w:rsidP="00A3403D">
      <w:r>
        <w:separator/>
      </w:r>
    </w:p>
  </w:footnote>
  <w:footnote w:type="continuationSeparator" w:id="0">
    <w:p w:rsidR="00A3403D" w:rsidRDefault="00A3403D" w:rsidP="00A3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D0"/>
    <w:rsid w:val="001564AA"/>
    <w:rsid w:val="003B10D0"/>
    <w:rsid w:val="005647E2"/>
    <w:rsid w:val="005B296E"/>
    <w:rsid w:val="007C5010"/>
    <w:rsid w:val="00A3403D"/>
    <w:rsid w:val="00C615A4"/>
    <w:rsid w:val="00E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7BB0-CA31-41A4-A6BC-05731000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5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615A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34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03D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0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03D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6</cp:revision>
  <dcterms:created xsi:type="dcterms:W3CDTF">2019-11-15T10:39:00Z</dcterms:created>
  <dcterms:modified xsi:type="dcterms:W3CDTF">2019-11-15T11:23:00Z</dcterms:modified>
</cp:coreProperties>
</file>