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632"/>
        <w:gridCol w:w="4161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211921EC" w14:textId="77777777" w:rsidTr="002B58D9">
              <w:tc>
                <w:tcPr>
                  <w:tcW w:w="9577" w:type="dxa"/>
                </w:tcPr>
                <w:p w14:paraId="79D2A537" w14:textId="77777777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Przebudowa sięgaczy na ul. Hetmańskiej – etap I</w:t>
                  </w:r>
                </w:p>
              </w:tc>
            </w:tr>
            <w:tr w:rsidR="00F41C3A" w:rsidRPr="00BD0A25" w14:paraId="4AD7D4DF" w14:textId="77777777" w:rsidTr="002B58D9">
              <w:tc>
                <w:tcPr>
                  <w:tcW w:w="9577" w:type="dxa"/>
                </w:tcPr>
                <w:p w14:paraId="5C3726C9" w14:textId="10F9CBC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nr sprawy: IT.271.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38</w:t>
                  </w: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.2020.MM</w:t>
                  </w: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562ABE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02B118BC" w:rsidR="008C6170" w:rsidRPr="00E65B89" w:rsidRDefault="00C95A23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Marcin Alberczak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5F32A77B" w14:textId="77777777" w:rsidR="00C95A2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5447F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>
        <w:rPr>
          <w:rFonts w:asciiTheme="majorHAnsi" w:hAnsiTheme="majorHAnsi" w:cstheme="majorHAnsi"/>
          <w:sz w:val="20"/>
          <w:szCs w:val="20"/>
        </w:rPr>
        <w:t>jest p</w:t>
      </w:r>
      <w:r w:rsidRPr="00722009">
        <w:rPr>
          <w:rFonts w:asciiTheme="majorHAnsi" w:hAnsiTheme="majorHAnsi" w:cstheme="majorHAnsi"/>
          <w:sz w:val="20"/>
          <w:szCs w:val="20"/>
        </w:rPr>
        <w:t>rzebudowa sięgacza ul. Hetmańskiej  oznaczonego w załączonej dokumentacji projektowej jako sięgacz nr 4 wraz z drogą dojazdową od ulicy Hetmańskiej o szerokości 3,5m.</w:t>
      </w:r>
    </w:p>
    <w:p w14:paraId="35500043" w14:textId="77777777" w:rsidR="00C95A23" w:rsidRPr="00722009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Zakres zamówienia obejmie:</w:t>
      </w:r>
    </w:p>
    <w:p w14:paraId="5926D75D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przebudowę jezdni wraz z podbudową,</w:t>
      </w:r>
    </w:p>
    <w:p w14:paraId="4221007F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przebudowę zjazdów do posesji wraz z podbudową,</w:t>
      </w:r>
    </w:p>
    <w:p w14:paraId="071CEFB1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regulację wysokościową studni kanalizacyjnych i innych urządzeń infrastruktury,</w:t>
      </w:r>
    </w:p>
    <w:p w14:paraId="7C240DD2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wykonanie (przestawienie) studzienki kanalizacji deszczowej,</w:t>
      </w:r>
    </w:p>
    <w:p w14:paraId="0E333E28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wykonanie stałej organizacji ruchu,</w:t>
      </w:r>
    </w:p>
    <w:p w14:paraId="5EE44A96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wykonanie i utrzymanie tymczasowego oznakowania na czas budowy.</w:t>
      </w:r>
    </w:p>
    <w:p w14:paraId="770E5653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karczowanie krzewów</w:t>
      </w:r>
    </w:p>
    <w:p w14:paraId="7C129553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wykonanie robót ziemnych i towarzyszących,</w:t>
      </w:r>
    </w:p>
    <w:p w14:paraId="6FF795FF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posianie trawy na zieleńcach.</w:t>
      </w:r>
    </w:p>
    <w:p w14:paraId="084259CA" w14:textId="77777777" w:rsidR="00C95A23" w:rsidRPr="00722009" w:rsidRDefault="00C95A23" w:rsidP="00C95A23">
      <w:pPr>
        <w:pStyle w:val="Akapitzlist"/>
        <w:numPr>
          <w:ilvl w:val="0"/>
          <w:numId w:val="49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utylizację materiałów powstałych z rozbiórek i prowadzonych robót budowlanych,</w:t>
      </w:r>
    </w:p>
    <w:p w14:paraId="747B617D" w14:textId="77777777" w:rsidR="00C95A2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Zamawiający informuje, że szczegółowy opis przedmiotu zamówienia zawarty jest: w dokumentacji projektowej, przedmiarach robót, specyfikacjach technicznych wykonania i odbioru robót oraz w projekcie organizacji ruchu będących załącznikami do SIWZ. W wycenie należy uwzględnić wszystkie elementy wynikające z projektu lub nieuwzględnione w projekcie,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22009">
        <w:rPr>
          <w:rFonts w:asciiTheme="majorHAnsi" w:hAnsiTheme="majorHAnsi" w:cstheme="majorHAnsi"/>
          <w:sz w:val="20"/>
          <w:szCs w:val="20"/>
        </w:rPr>
        <w:t xml:space="preserve">a niezbędne do prawidłowego wykonania zadania. Kosztorys nie stanowi podstawy wyceny jest tylko formą pomocniczą. </w:t>
      </w:r>
    </w:p>
    <w:p w14:paraId="3C57E0B6" w14:textId="77777777" w:rsidR="00C95A2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>Użyte materiały winny posiadać wymagane certyfikaty, atesty oraz inne dokumenty   uprawniające je do wbudowania czy zainstalowania w przestrzeni publicznej.</w:t>
      </w:r>
    </w:p>
    <w:p w14:paraId="125479F7" w14:textId="77777777" w:rsidR="00C95A23" w:rsidRPr="00722009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722009">
        <w:rPr>
          <w:rFonts w:asciiTheme="majorHAnsi" w:hAnsiTheme="majorHAnsi" w:cstheme="majorHAnsi"/>
          <w:sz w:val="20"/>
          <w:szCs w:val="20"/>
        </w:rPr>
        <w:t xml:space="preserve">Wykonawca, którego oferta zostanie uznana za najkorzystniejszą, zobowiązany jest do sporządzenia </w:t>
      </w:r>
      <w:r>
        <w:rPr>
          <w:rFonts w:asciiTheme="majorHAnsi" w:hAnsiTheme="majorHAnsi" w:cstheme="majorHAnsi"/>
          <w:sz w:val="20"/>
          <w:szCs w:val="20"/>
        </w:rPr>
        <w:br/>
      </w:r>
      <w:r w:rsidRPr="00722009">
        <w:rPr>
          <w:rFonts w:asciiTheme="majorHAnsi" w:hAnsiTheme="majorHAnsi" w:cstheme="majorHAnsi"/>
          <w:sz w:val="20"/>
          <w:szCs w:val="20"/>
        </w:rPr>
        <w:t>i dostarczenia Zamawiającemu kosztorysu odzwierciedlającego cenę za wykonanie przedmiotu zamówienia i harmonogramu rzeczowo - finansowego w terminie 10 dni od dnia zawarcia niniejszej umowy.</w:t>
      </w:r>
    </w:p>
    <w:p w14:paraId="4DD7B605" w14:textId="77777777" w:rsidR="00C95A23" w:rsidRPr="00341E40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Podstawa wykonania robót.</w:t>
      </w:r>
    </w:p>
    <w:p w14:paraId="676ECDFB" w14:textId="77777777" w:rsidR="00C95A23" w:rsidRPr="00341E40" w:rsidRDefault="00C95A23" w:rsidP="00C95A23">
      <w:pPr>
        <w:pStyle w:val="Akapitzlist"/>
        <w:numPr>
          <w:ilvl w:val="0"/>
          <w:numId w:val="50"/>
        </w:numPr>
        <w:tabs>
          <w:tab w:val="left" w:pos="3855"/>
        </w:tabs>
        <w:spacing w:after="40"/>
        <w:ind w:left="709" w:hanging="411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Zgłoszenie robót budowlanych nr AB.6743.1.536.2018  przyjęte przez Starostwo Powiatowe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41E40">
        <w:rPr>
          <w:rFonts w:asciiTheme="majorHAnsi" w:hAnsiTheme="majorHAnsi" w:cstheme="majorHAnsi"/>
          <w:sz w:val="20"/>
          <w:szCs w:val="20"/>
        </w:rPr>
        <w:t>w Zduńskiej Woli w dniu  23.10.2018.</w:t>
      </w:r>
    </w:p>
    <w:p w14:paraId="20E1132B" w14:textId="77777777" w:rsidR="00C95A23" w:rsidRPr="00341E40" w:rsidRDefault="00C95A23" w:rsidP="00C95A23">
      <w:pPr>
        <w:pStyle w:val="Akapitzlist"/>
        <w:numPr>
          <w:ilvl w:val="0"/>
          <w:numId w:val="50"/>
        </w:numPr>
        <w:tabs>
          <w:tab w:val="left" w:pos="3855"/>
        </w:tabs>
        <w:spacing w:after="40"/>
        <w:ind w:left="709" w:hanging="411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Dokumentacja projektowa.</w:t>
      </w:r>
    </w:p>
    <w:p w14:paraId="75A90B32" w14:textId="77777777" w:rsidR="00C95A23" w:rsidRPr="00341E40" w:rsidRDefault="00C95A23" w:rsidP="00C95A23">
      <w:pPr>
        <w:pStyle w:val="Akapitzlist"/>
        <w:numPr>
          <w:ilvl w:val="0"/>
          <w:numId w:val="50"/>
        </w:numPr>
        <w:tabs>
          <w:tab w:val="left" w:pos="3855"/>
        </w:tabs>
        <w:spacing w:after="40"/>
        <w:ind w:left="709" w:hanging="411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Specyfikacje techniczne wykonania i odbioru robót.</w:t>
      </w:r>
    </w:p>
    <w:p w14:paraId="711F6E4E" w14:textId="77777777" w:rsidR="00C95A23" w:rsidRPr="00341E40" w:rsidRDefault="00C95A23" w:rsidP="00C95A23">
      <w:pPr>
        <w:numPr>
          <w:ilvl w:val="0"/>
          <w:numId w:val="47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Informacje dodatkowe.</w:t>
      </w:r>
    </w:p>
    <w:p w14:paraId="5DD78AF7" w14:textId="77777777" w:rsidR="00C95A23" w:rsidRDefault="00C95A23" w:rsidP="00C95A23">
      <w:pPr>
        <w:pStyle w:val="Akapitzlist"/>
        <w:numPr>
          <w:ilvl w:val="0"/>
          <w:numId w:val="51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Zamawiający informuje, że zadnie będzie wykonywane w przestrzeni publicznej.</w:t>
      </w:r>
    </w:p>
    <w:p w14:paraId="30FAFD79" w14:textId="77777777" w:rsidR="00C95A23" w:rsidRDefault="00C95A23" w:rsidP="00C95A23">
      <w:pPr>
        <w:pStyle w:val="Akapitzlist"/>
        <w:numPr>
          <w:ilvl w:val="0"/>
          <w:numId w:val="51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41E40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końcowego.</w:t>
      </w:r>
    </w:p>
    <w:p w14:paraId="27DAD955" w14:textId="77777777" w:rsidR="00C95A23" w:rsidRDefault="00C95A23" w:rsidP="00C95A23">
      <w:pPr>
        <w:pStyle w:val="Akapitzlist"/>
        <w:numPr>
          <w:ilvl w:val="0"/>
          <w:numId w:val="51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Zakres zamówienia obejmuje również obowiązki Wykonawcy wyszczególnione w § 4 wzoru umowy.</w:t>
      </w:r>
    </w:p>
    <w:p w14:paraId="11D06B92" w14:textId="77777777" w:rsidR="00C95A23" w:rsidRPr="008853E0" w:rsidRDefault="00C95A23" w:rsidP="00C95A23">
      <w:pPr>
        <w:pStyle w:val="Akapitzlist"/>
        <w:numPr>
          <w:ilvl w:val="0"/>
          <w:numId w:val="51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 xml:space="preserve">Materiały i wyroby użyte do wykonania przedmiotu zamówienia winny spełniać wymogi określone </w:t>
      </w:r>
      <w:r>
        <w:rPr>
          <w:rFonts w:asciiTheme="majorHAnsi" w:hAnsiTheme="majorHAnsi" w:cstheme="majorHAnsi"/>
          <w:sz w:val="20"/>
          <w:szCs w:val="20"/>
        </w:rPr>
        <w:br/>
      </w:r>
      <w:r w:rsidRPr="008853E0">
        <w:rPr>
          <w:rFonts w:asciiTheme="majorHAnsi" w:hAnsiTheme="majorHAnsi" w:cstheme="majorHAnsi"/>
          <w:sz w:val="20"/>
          <w:szCs w:val="20"/>
        </w:rPr>
        <w:t xml:space="preserve">w przepisach prawa polskiego, posiadać atesty lub świadectwa ITB dopuszczające stosowanie </w:t>
      </w:r>
      <w:r>
        <w:rPr>
          <w:rFonts w:asciiTheme="majorHAnsi" w:hAnsiTheme="majorHAnsi" w:cstheme="majorHAnsi"/>
          <w:sz w:val="20"/>
          <w:szCs w:val="20"/>
        </w:rPr>
        <w:t>i</w:t>
      </w:r>
      <w:r w:rsidRPr="008853E0">
        <w:rPr>
          <w:rFonts w:asciiTheme="majorHAnsi" w:hAnsiTheme="majorHAnsi" w:cstheme="majorHAnsi"/>
          <w:sz w:val="20"/>
          <w:szCs w:val="20"/>
        </w:rPr>
        <w:t xml:space="preserve">ch </w:t>
      </w:r>
      <w:r>
        <w:rPr>
          <w:rFonts w:asciiTheme="majorHAnsi" w:hAnsiTheme="majorHAnsi" w:cstheme="majorHAnsi"/>
          <w:sz w:val="20"/>
          <w:szCs w:val="20"/>
        </w:rPr>
        <w:br/>
      </w:r>
      <w:r w:rsidRPr="008853E0">
        <w:rPr>
          <w:rFonts w:asciiTheme="majorHAnsi" w:hAnsiTheme="majorHAnsi" w:cstheme="majorHAnsi"/>
          <w:sz w:val="20"/>
          <w:szCs w:val="20"/>
        </w:rPr>
        <w:t xml:space="preserve">w obiektach użyteczności publicznej oraz deklarację zgodności, </w:t>
      </w:r>
      <w:proofErr w:type="spellStart"/>
      <w:r w:rsidRPr="008853E0">
        <w:rPr>
          <w:rFonts w:asciiTheme="majorHAnsi" w:hAnsiTheme="majorHAnsi" w:cstheme="majorHAnsi"/>
          <w:sz w:val="20"/>
          <w:szCs w:val="20"/>
        </w:rPr>
        <w:t>IBDiM</w:t>
      </w:r>
      <w:proofErr w:type="spellEnd"/>
      <w:r w:rsidRPr="008853E0">
        <w:rPr>
          <w:rFonts w:asciiTheme="majorHAnsi" w:hAnsiTheme="majorHAnsi" w:cstheme="majorHAnsi"/>
          <w:sz w:val="20"/>
          <w:szCs w:val="20"/>
        </w:rPr>
        <w:t xml:space="preserve"> dopuszczające do stosowania w budownictwie komunikacyjnym.</w:t>
      </w:r>
    </w:p>
    <w:p w14:paraId="03BB83C7" w14:textId="77777777" w:rsidR="00C95A23" w:rsidRPr="008853E0" w:rsidRDefault="00C95A23" w:rsidP="00C95A23">
      <w:pPr>
        <w:numPr>
          <w:ilvl w:val="0"/>
          <w:numId w:val="47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lastRenderedPageBreak/>
        <w:t>Przy wykonawstwie oraz odbiorze robót objętych zamówieniem obowiązywać będą zasady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853E0">
        <w:rPr>
          <w:rFonts w:asciiTheme="majorHAnsi" w:hAnsiTheme="majorHAnsi" w:cstheme="majorHAnsi"/>
          <w:sz w:val="20"/>
          <w:szCs w:val="20"/>
        </w:rPr>
        <w:t>i wymagania określone w:</w:t>
      </w:r>
    </w:p>
    <w:p w14:paraId="4BBB2490" w14:textId="77777777" w:rsidR="00C95A23" w:rsidRPr="008853E0" w:rsidRDefault="00C95A23" w:rsidP="00C95A23">
      <w:pPr>
        <w:pStyle w:val="Akapitzlist"/>
        <w:numPr>
          <w:ilvl w:val="2"/>
          <w:numId w:val="52"/>
        </w:numPr>
        <w:spacing w:after="4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657675C9" w14:textId="77777777" w:rsidR="00C95A23" w:rsidRPr="008853E0" w:rsidRDefault="00C95A23" w:rsidP="00C95A23">
      <w:pPr>
        <w:pStyle w:val="Akapitzlist"/>
        <w:numPr>
          <w:ilvl w:val="2"/>
          <w:numId w:val="52"/>
        </w:numPr>
        <w:spacing w:after="4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Specyfikacjach Technicznych Wykonania i Odbioru Robót Budowlanych,</w:t>
      </w:r>
    </w:p>
    <w:p w14:paraId="0C91992F" w14:textId="77777777" w:rsidR="00C95A23" w:rsidRPr="008853E0" w:rsidRDefault="00C95A23" w:rsidP="00C95A23">
      <w:pPr>
        <w:pStyle w:val="Akapitzlist"/>
        <w:numPr>
          <w:ilvl w:val="2"/>
          <w:numId w:val="52"/>
        </w:numPr>
        <w:spacing w:after="4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48AE4889" w14:textId="77777777" w:rsidR="00C95A23" w:rsidRPr="008853E0" w:rsidRDefault="00C95A23" w:rsidP="00C95A23">
      <w:pPr>
        <w:pStyle w:val="Akapitzlist"/>
        <w:numPr>
          <w:ilvl w:val="2"/>
          <w:numId w:val="52"/>
        </w:numPr>
        <w:spacing w:after="4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obowiązujących normach, z uwzględnieniem poniższych warunków:</w:t>
      </w:r>
    </w:p>
    <w:p w14:paraId="61218CE7" w14:textId="77777777" w:rsidR="00C95A23" w:rsidRPr="008853E0" w:rsidRDefault="00C95A23" w:rsidP="00C95A23">
      <w:pPr>
        <w:pStyle w:val="Akapitzlist"/>
        <w:numPr>
          <w:ilvl w:val="0"/>
          <w:numId w:val="53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5F2771A7" w14:textId="77777777" w:rsidR="00C95A23" w:rsidRPr="008853E0" w:rsidRDefault="00C95A23" w:rsidP="00C95A23">
      <w:pPr>
        <w:pStyle w:val="Akapitzlist"/>
        <w:numPr>
          <w:ilvl w:val="0"/>
          <w:numId w:val="53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materiały mają być zastosowane z uwzględnieniem wszelkich wymogów zawartych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853E0">
        <w:rPr>
          <w:rFonts w:asciiTheme="majorHAnsi" w:hAnsiTheme="majorHAnsi" w:cstheme="majorHAnsi"/>
          <w:sz w:val="20"/>
          <w:szCs w:val="20"/>
        </w:rPr>
        <w:t>w opisach dokumentacji wykonawczej oraz specyfikacji technicznej wykonania i odbioru robót,</w:t>
      </w:r>
    </w:p>
    <w:p w14:paraId="073FF78D" w14:textId="77777777" w:rsidR="00C95A23" w:rsidRPr="008853E0" w:rsidRDefault="00C95A23" w:rsidP="00C95A23">
      <w:pPr>
        <w:pStyle w:val="Akapitzlist"/>
        <w:numPr>
          <w:ilvl w:val="0"/>
          <w:numId w:val="53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</w:t>
      </w:r>
    </w:p>
    <w:p w14:paraId="3C089492" w14:textId="77777777" w:rsidR="00C95A23" w:rsidRDefault="00C95A23" w:rsidP="00C95A23">
      <w:pPr>
        <w:pStyle w:val="Akapitzlist"/>
        <w:numPr>
          <w:ilvl w:val="0"/>
          <w:numId w:val="53"/>
        </w:numPr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853E0">
        <w:rPr>
          <w:rFonts w:asciiTheme="majorHAnsi" w:hAnsiTheme="majorHAnsi" w:cstheme="majorHAnsi"/>
          <w:sz w:val="20"/>
          <w:szCs w:val="20"/>
        </w:rPr>
        <w:t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0386F4B" w14:textId="77777777" w:rsidR="00C95A23" w:rsidRPr="00C05C5E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05C5E">
        <w:rPr>
          <w:rFonts w:asciiTheme="majorHAnsi" w:hAnsiTheme="majorHAnsi" w:cstheme="majorHAnsi"/>
          <w:b/>
          <w:bCs/>
          <w:sz w:val="20"/>
          <w:szCs w:val="20"/>
        </w:rPr>
        <w:t>UWAGA</w:t>
      </w:r>
    </w:p>
    <w:p w14:paraId="00126A50" w14:textId="77777777" w:rsidR="00C95A23" w:rsidRPr="00C05C5E" w:rsidRDefault="00C95A23" w:rsidP="00C95A2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05C5E">
        <w:rPr>
          <w:rFonts w:asciiTheme="majorHAnsi" w:hAnsiTheme="majorHAnsi" w:cstheme="majorHAnsi"/>
          <w:b/>
          <w:bCs/>
          <w:sz w:val="20"/>
          <w:szCs w:val="20"/>
        </w:rPr>
        <w:t>Dokumentacja projektowa stanowiąca załącznik do przetargu obejmuje szerszy zakres niż przedmiot zamówienia</w:t>
      </w:r>
      <w:r>
        <w:rPr>
          <w:rFonts w:asciiTheme="majorHAnsi" w:hAnsiTheme="majorHAnsi" w:cstheme="majorHAnsi"/>
          <w:b/>
          <w:bCs/>
          <w:sz w:val="20"/>
          <w:szCs w:val="20"/>
        </w:rPr>
        <w:t>, należy wycenić jedynie wykonanie</w:t>
      </w:r>
      <w:r w:rsidRPr="00C05C5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60C4B">
        <w:rPr>
          <w:rFonts w:asciiTheme="majorHAnsi" w:hAnsiTheme="majorHAnsi" w:cstheme="majorHAnsi"/>
          <w:b/>
          <w:bCs/>
          <w:sz w:val="20"/>
          <w:szCs w:val="20"/>
        </w:rPr>
        <w:t>sięgacz</w:t>
      </w:r>
      <w:r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F60C4B">
        <w:rPr>
          <w:rFonts w:asciiTheme="majorHAnsi" w:hAnsiTheme="majorHAnsi" w:cstheme="majorHAnsi"/>
          <w:b/>
          <w:bCs/>
          <w:sz w:val="20"/>
          <w:szCs w:val="20"/>
        </w:rPr>
        <w:t xml:space="preserve"> nr 4 wraz z drogą dojazdową od ulicy Hetmańskiej o szerokości 3,5m.</w:t>
      </w:r>
    </w:p>
    <w:p w14:paraId="5D853F46" w14:textId="77777777" w:rsidR="00C95A23" w:rsidRPr="00F60C4B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0C4B">
        <w:rPr>
          <w:rFonts w:asciiTheme="majorHAnsi" w:hAnsiTheme="majorHAnsi" w:cstheme="majorHAnsi"/>
          <w:b/>
          <w:bCs/>
          <w:sz w:val="20"/>
          <w:szCs w:val="20"/>
        </w:rPr>
        <w:t xml:space="preserve">Przedmiar robót, stanowiący załącznik do przetargu jest elementem pomocniczym i nie stanowi podstawy wyceny. </w:t>
      </w:r>
    </w:p>
    <w:p w14:paraId="5BD953D2" w14:textId="77777777" w:rsidR="00C95A23" w:rsidRPr="00931D07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931D07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</w:p>
    <w:p w14:paraId="3B717C47" w14:textId="77777777" w:rsidR="00C95A23" w:rsidRPr="00931D07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0BB9733B" w14:textId="77777777" w:rsidR="00C95A23" w:rsidRPr="008B38A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64866431" w14:textId="77777777" w:rsidR="00C95A2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wymaga zatrudnienia przez wykonawcę lub podwykonawcę na podstawie umowy o pracę osób wykonujących czynności polegające na faktycznym wykonywaniu robót budowlano-montażowych objętych zakresem</w:t>
      </w:r>
      <w:r w:rsidRPr="005D7F87">
        <w:rPr>
          <w:rFonts w:asciiTheme="majorHAnsi" w:hAnsiTheme="majorHAnsi" w:cstheme="majorHAnsi"/>
          <w:sz w:val="20"/>
        </w:rPr>
        <w:t xml:space="preserve"> zamówienia, tj.:</w:t>
      </w:r>
    </w:p>
    <w:p w14:paraId="12BE89C4" w14:textId="77777777" w:rsidR="00C95A23" w:rsidRPr="00CC1654" w:rsidRDefault="00C95A23" w:rsidP="00C95A23">
      <w:pPr>
        <w:numPr>
          <w:ilvl w:val="0"/>
          <w:numId w:val="4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rozbiórkowe,</w:t>
      </w:r>
    </w:p>
    <w:p w14:paraId="32B7CF23" w14:textId="77777777" w:rsidR="00C95A23" w:rsidRPr="00CC1654" w:rsidRDefault="00C95A23" w:rsidP="00C95A23">
      <w:pPr>
        <w:numPr>
          <w:ilvl w:val="0"/>
          <w:numId w:val="4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ziemne,</w:t>
      </w:r>
    </w:p>
    <w:p w14:paraId="50924EA0" w14:textId="77777777" w:rsidR="00C95A23" w:rsidRPr="00CC1654" w:rsidRDefault="00C95A23" w:rsidP="00C95A23">
      <w:pPr>
        <w:numPr>
          <w:ilvl w:val="0"/>
          <w:numId w:val="4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instalacyjne,</w:t>
      </w:r>
    </w:p>
    <w:p w14:paraId="17DF32F5" w14:textId="77777777" w:rsidR="00C95A23" w:rsidRDefault="00C95A23" w:rsidP="00C95A23">
      <w:pPr>
        <w:pStyle w:val="pkt"/>
        <w:autoSpaceDN w:val="0"/>
        <w:spacing w:before="0" w:after="40"/>
        <w:ind w:left="284" w:firstLine="0"/>
        <w:rPr>
          <w:rFonts w:asciiTheme="majorHAnsi" w:hAnsiTheme="majorHAnsi" w:cstheme="majorHAnsi"/>
          <w:sz w:val="20"/>
        </w:rPr>
      </w:pPr>
      <w:r w:rsidRPr="005D7F87">
        <w:rPr>
          <w:rFonts w:asciiTheme="majorHAnsi" w:hAnsiTheme="majorHAnsi" w:cstheme="majorHAnsi"/>
          <w:sz w:val="20"/>
        </w:rPr>
        <w:t>o ile nie będą wykonywane przez daną osobę w ramach prowadzonej przez nią działalności gospodarczej, były wykonywane przez osoby zatrudnione (przez Wykonawcę lub podwykonawcę) na podstawie umowy o pracę. Wykonawca zobowiązany jest zawrzeć w każdej umowie o podwykonawstwo stosowne zapisy zobowiązujące podwykonawców do zatrudnienia na umowę o pracę wszystkich osób wykonujących wskazane wyżej czynności.</w:t>
      </w:r>
    </w:p>
    <w:p w14:paraId="68B2AAE2" w14:textId="77777777" w:rsidR="00C95A23" w:rsidRPr="008B38A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29527DB0" w14:textId="77777777" w:rsidR="00C95A23" w:rsidRDefault="00C95A23" w:rsidP="00C95A2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633E01">
        <w:rPr>
          <w:rFonts w:asciiTheme="majorHAnsi" w:hAnsiTheme="majorHAnsi" w:cstheme="majorHAnsi"/>
          <w:sz w:val="20"/>
          <w:szCs w:val="20"/>
        </w:rPr>
        <w:t>45233120-6 Roboty w zakresie budowy dróg;</w:t>
      </w:r>
    </w:p>
    <w:p w14:paraId="5CAC9DC1" w14:textId="77777777" w:rsidR="00C95A23" w:rsidRDefault="00C95A23" w:rsidP="00C95A2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633E01">
        <w:rPr>
          <w:rFonts w:asciiTheme="majorHAnsi" w:hAnsiTheme="majorHAnsi" w:cstheme="majorHAnsi"/>
          <w:sz w:val="20"/>
          <w:szCs w:val="20"/>
        </w:rPr>
        <w:t xml:space="preserve">45232130-2 Roboty budowlane w zakresie rurociągów do odprowadzania wody burzowej </w:t>
      </w:r>
    </w:p>
    <w:p w14:paraId="652CE6A1" w14:textId="77777777" w:rsidR="00C95A23" w:rsidRPr="00CE6D51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CE6D51">
        <w:rPr>
          <w:rFonts w:asciiTheme="majorHAnsi" w:hAnsiTheme="majorHAnsi" w:cstheme="majorHAnsi"/>
          <w:sz w:val="20"/>
          <w:szCs w:val="20"/>
        </w:rPr>
        <w:t>Zamawiający nie dopuszcza możliwoś</w:t>
      </w:r>
      <w:r>
        <w:rPr>
          <w:rFonts w:asciiTheme="majorHAnsi" w:hAnsiTheme="majorHAnsi" w:cstheme="majorHAnsi"/>
          <w:sz w:val="20"/>
          <w:szCs w:val="20"/>
        </w:rPr>
        <w:t>ci</w:t>
      </w:r>
      <w:r w:rsidRPr="00CE6D51">
        <w:rPr>
          <w:rFonts w:asciiTheme="majorHAnsi" w:hAnsiTheme="majorHAnsi" w:cstheme="majorHAnsi"/>
          <w:sz w:val="20"/>
          <w:szCs w:val="20"/>
        </w:rPr>
        <w:t xml:space="preserve"> składania ofert częściowych. </w:t>
      </w:r>
    </w:p>
    <w:p w14:paraId="06988F73" w14:textId="77777777" w:rsidR="00C95A23" w:rsidRPr="008B38A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25C3E3E7" w14:textId="77777777" w:rsidR="00C95A23" w:rsidRPr="005B3D6A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5B3D6A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670AE670" w14:textId="77777777" w:rsidR="00C95A23" w:rsidRPr="008B38A3" w:rsidRDefault="00C95A23" w:rsidP="00C95A23">
      <w:pPr>
        <w:numPr>
          <w:ilvl w:val="0"/>
          <w:numId w:val="4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F56FC10" w14:textId="77777777" w:rsidR="00F41C3A" w:rsidRPr="00E30D8E" w:rsidRDefault="00F41C3A" w:rsidP="00F41C3A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Od dnia zawarcia umowy do dnia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30 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listopada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>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DE054A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45B7855B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20DE5479" w14:textId="77777777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29902454"/>
      <w:r w:rsidRPr="00C00BA4">
        <w:rPr>
          <w:rFonts w:asciiTheme="majorHAnsi" w:hAnsiTheme="majorHAnsi" w:cstheme="majorHAnsi"/>
          <w:sz w:val="20"/>
          <w:szCs w:val="20"/>
        </w:rPr>
        <w:t xml:space="preserve">w okresie ostatnich pięciu lat przed upływem terminu składania ofert, a jeżeli okres prowadzenia działalności jest krótszy – w tym okresie, </w:t>
      </w:r>
      <w:r w:rsidRPr="00EE6A98">
        <w:rPr>
          <w:rFonts w:asciiTheme="majorHAnsi" w:hAnsiTheme="majorHAnsi" w:cstheme="majorHAnsi"/>
          <w:sz w:val="20"/>
          <w:szCs w:val="20"/>
        </w:rPr>
        <w:t>wykonali należycie, zgodnie z zasadami sztuki budowlanej i prawidłowo ukończyli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9098E">
        <w:rPr>
          <w:rFonts w:asciiTheme="majorHAnsi" w:hAnsiTheme="majorHAnsi" w:cstheme="majorHAnsi"/>
          <w:sz w:val="20"/>
          <w:szCs w:val="20"/>
        </w:rPr>
        <w:t>jedn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F9098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robotę budowlaną </w:t>
      </w:r>
      <w:r w:rsidRPr="00F9098E">
        <w:rPr>
          <w:rFonts w:asciiTheme="majorHAnsi" w:hAnsiTheme="majorHAnsi" w:cstheme="majorHAnsi"/>
          <w:sz w:val="20"/>
          <w:szCs w:val="20"/>
        </w:rPr>
        <w:t xml:space="preserve">o wartości </w:t>
      </w:r>
      <w:r w:rsidRPr="00CF2B7C">
        <w:rPr>
          <w:rFonts w:asciiTheme="majorHAnsi" w:hAnsiTheme="majorHAnsi" w:cstheme="majorHAnsi"/>
          <w:sz w:val="20"/>
          <w:szCs w:val="20"/>
        </w:rPr>
        <w:t xml:space="preserve">minimum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CF2B7C">
        <w:rPr>
          <w:rFonts w:asciiTheme="majorHAnsi" w:hAnsiTheme="majorHAnsi" w:cstheme="majorHAnsi"/>
          <w:sz w:val="20"/>
          <w:szCs w:val="20"/>
        </w:rPr>
        <w:t xml:space="preserve">00.000,00 zł brutto polegającą na budowie lub przebudowie </w:t>
      </w:r>
      <w:r>
        <w:rPr>
          <w:rFonts w:asciiTheme="majorHAnsi" w:hAnsiTheme="majorHAnsi" w:cstheme="majorHAnsi"/>
          <w:sz w:val="20"/>
          <w:szCs w:val="20"/>
        </w:rPr>
        <w:t>drogi</w:t>
      </w:r>
      <w:r w:rsidRPr="00F9098E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0C5B6A4C" w14:textId="77777777" w:rsidR="00034CF3" w:rsidRPr="00691316" w:rsidRDefault="00034CF3" w:rsidP="00034CF3">
      <w:pPr>
        <w:pStyle w:val="Akapitzlist"/>
        <w:keepNext/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B189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2A098BE6" w14:textId="77777777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B48C96D" w14:textId="77777777" w:rsidR="00034CF3" w:rsidRDefault="00034CF3" w:rsidP="00034CF3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53662">
        <w:rPr>
          <w:rFonts w:asciiTheme="majorHAnsi" w:eastAsia="Calibri Light" w:hAnsiTheme="majorHAnsi" w:cstheme="majorHAnsi"/>
          <w:sz w:val="20"/>
          <w:szCs w:val="20"/>
        </w:rPr>
        <w:t>Kierownik budowy posiadający uprawnienia budowlane do kierowania robotami budowlanymi w specjalności inżynieryjnej drogowej,</w:t>
      </w:r>
    </w:p>
    <w:p w14:paraId="42643064" w14:textId="77777777" w:rsidR="00034CF3" w:rsidRPr="00F53662" w:rsidRDefault="00034CF3" w:rsidP="00034CF3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53662">
        <w:rPr>
          <w:rFonts w:asciiTheme="majorHAnsi" w:eastAsia="Calibri Light" w:hAnsiTheme="majorHAnsi" w:cstheme="majorHAnsi"/>
          <w:sz w:val="20"/>
          <w:szCs w:val="20"/>
        </w:rPr>
        <w:t>Kierownik robót sanitarnych posiadający uprawnienia budowlane do kierowania robotami budowlanymi w specjalności instalacyjnej w zakresie sieci, instalacji i urządzeń wodociągowych, kanalizacyjnych i gazowych.</w:t>
      </w:r>
    </w:p>
    <w:p w14:paraId="18A14558" w14:textId="77777777" w:rsidR="00034CF3" w:rsidRPr="009D5F21" w:rsidRDefault="00034CF3" w:rsidP="00034CF3">
      <w:pPr>
        <w:pStyle w:val="Akapitzlist"/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</w:p>
    <w:p w14:paraId="7DEE12B6" w14:textId="77777777" w:rsidR="00034CF3" w:rsidRDefault="00034CF3" w:rsidP="00034CF3">
      <w:pPr>
        <w:tabs>
          <w:tab w:val="left" w:pos="1134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EE6A98">
        <w:rPr>
          <w:rFonts w:asciiTheme="majorHAnsi" w:hAnsiTheme="majorHAnsi" w:cstheme="majorHAnsi"/>
          <w:sz w:val="20"/>
          <w:szCs w:val="20"/>
        </w:rPr>
        <w:t>rzez uprawnienia budowlane, o których mowa powyżej Zamawiający rozumie uprawnienia,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których mowa w ustawie z dnia 7 lipca 1994 r. Prawo budowlane (tj. Dz. U. z 2019 r., poz. 1186 ze zm.) oraz w Rozporządzeniu Ministra Infrastruktury i Rozwoju z dnia 29 kwietnia 2019 r.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sprawie przygotowania zawodowego do wykonywania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zasadach uznawania kwalifikacji zawodowych nabytych w państwach członkowskich Unii Europejskiej (Dz. U. z 2018 r., poz. 2272) lub zamierzający świadczyć usługi transgraniczne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rozumieniu przepisów tej ustawy oraz art. 20a ustawy z dnia 15 grudnia 2000 r. o samorządach zawodowych architektów, inżynierów budownictwa  (Dz. U. z 2019 r., poz. 1117).</w:t>
      </w:r>
    </w:p>
    <w:p w14:paraId="320789DB" w14:textId="142EB32E" w:rsidR="009B2BE1" w:rsidRPr="00E65B89" w:rsidRDefault="00523A86" w:rsidP="00FC6F4D">
      <w:pPr>
        <w:pStyle w:val="Akapitzlist"/>
        <w:numPr>
          <w:ilvl w:val="0"/>
          <w:numId w:val="60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FC6F4D">
      <w:pPr>
        <w:pStyle w:val="Akapitzlist"/>
        <w:numPr>
          <w:ilvl w:val="0"/>
          <w:numId w:val="60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C95A23">
      <w:pPr>
        <w:pStyle w:val="Akapitzlist"/>
        <w:numPr>
          <w:ilvl w:val="0"/>
          <w:numId w:val="26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C95A23">
      <w:pPr>
        <w:pStyle w:val="Akapitzlist"/>
        <w:numPr>
          <w:ilvl w:val="0"/>
          <w:numId w:val="26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C95A23">
      <w:pPr>
        <w:numPr>
          <w:ilvl w:val="0"/>
          <w:numId w:val="3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1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FC6F4D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C95A23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C95A23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w niniejszym rozdziale SIWZ. Oznacza to, że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63541192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Wykonawca zobowiązany jest wnieść wadium w wysokości 4 900,00 PLN (słownie: cztery tysiące złotych)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5C6103F4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92487D" w:rsidRPr="00AC6A2E">
        <w:rPr>
          <w:rFonts w:asciiTheme="majorHAnsi" w:eastAsia="Arial Unicode MS" w:hAnsiTheme="majorHAnsi" w:cstheme="majorHAnsi"/>
          <w:b/>
          <w:bCs/>
          <w:sz w:val="20"/>
          <w:szCs w:val="20"/>
        </w:rPr>
        <w:t>15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6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UWAGA! 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N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ie należy wrzucać do wystawionej urny.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483F6F9A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2B58D9" w:rsidRPr="002B58D9">
              <w:rPr>
                <w:rFonts w:asciiTheme="majorHAnsi" w:hAnsiTheme="majorHAnsi" w:cstheme="majorHAnsi"/>
                <w:b/>
                <w:sz w:val="20"/>
                <w:szCs w:val="20"/>
              </w:rPr>
              <w:t>Przebudowa sięgaczy na ul. Hetmańskiej – etap I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27312D68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2B58D9" w:rsidRPr="002B58D9">
              <w:rPr>
                <w:rFonts w:asciiTheme="majorHAnsi" w:hAnsiTheme="majorHAnsi" w:cstheme="majorHAnsi"/>
                <w:b/>
                <w:sz w:val="20"/>
                <w:szCs w:val="20"/>
              </w:rPr>
              <w:t>IT.271.38.2020.MM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4579FE98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AC6A2E" w:rsidRPr="00AC6A2E">
        <w:rPr>
          <w:rFonts w:asciiTheme="majorHAnsi" w:eastAsia="Arial Unicode MS" w:hAnsiTheme="majorHAnsi" w:cstheme="majorHAnsi"/>
          <w:b/>
          <w:bCs/>
          <w:sz w:val="20"/>
          <w:szCs w:val="20"/>
        </w:rPr>
        <w:t>15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AC6A2E">
        <w:rPr>
          <w:rFonts w:asciiTheme="majorHAnsi" w:eastAsia="Arial Unicode MS" w:hAnsiTheme="majorHAnsi" w:cstheme="majorHAnsi"/>
          <w:b/>
          <w:bCs/>
          <w:sz w:val="20"/>
          <w:szCs w:val="20"/>
        </w:rPr>
        <w:t>6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0D9D0B7E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AC6A2E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AC6A2E">
        <w:rPr>
          <w:rFonts w:asciiTheme="majorHAnsi" w:hAnsiTheme="majorHAnsi" w:cstheme="majorHAnsi"/>
          <w:b/>
          <w:sz w:val="20"/>
          <w:szCs w:val="20"/>
        </w:rPr>
        <w:t>6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245302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C95A23">
      <w:pPr>
        <w:numPr>
          <w:ilvl w:val="1"/>
          <w:numId w:val="31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AC6A2E" w:rsidRPr="00E65B89" w14:paraId="3BCB716D" w14:textId="77777777" w:rsidTr="00AC6A2E">
        <w:trPr>
          <w:cantSplit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AC6A2E" w:rsidRPr="00E65B89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392C521B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C6A2E">
              <w:rPr>
                <w:rFonts w:asciiTheme="majorHAnsi" w:hAnsiTheme="majorHAnsi" w:cstheme="majorHAnsi"/>
              </w:rPr>
              <w:t>Termin gwarancji - (TG)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4AC8F2" w14:textId="16162776" w:rsidR="00AC6A2E" w:rsidRPr="00AC6A2E" w:rsidRDefault="00AC6A2E" w:rsidP="00AC6A2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Termin gwarancji na wykonane roboty i usługi oraz zastosowane materiały. Termin ten musi być określony w przedziale od 60 miesięcy do 84 miesięcy. W przypadku zaoferowania terminu krótszego niż 60 miesięcy oferta zostanie odrzucona, natomiast w przypadku zaoferowania terminu dłuższego niż 84 miesiące oferta zostanie oceniona tak samo jak by Wykonawca zaoferował 84-miesięczną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43831345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40,00%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C95A23">
      <w:pPr>
        <w:pStyle w:val="Akapitzlist"/>
        <w:numPr>
          <w:ilvl w:val="2"/>
          <w:numId w:val="31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0E1C8871" w:rsidR="00B35090" w:rsidRPr="00B35090" w:rsidRDefault="006A54F5" w:rsidP="00C95A23">
      <w:pPr>
        <w:pStyle w:val="Akapitzlist"/>
        <w:numPr>
          <w:ilvl w:val="2"/>
          <w:numId w:val="31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lastRenderedPageBreak/>
        <w:t>Kryterium termin gwarancji (TG)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</w:t>
      </w:r>
      <w:r>
        <w:rPr>
          <w:rFonts w:asciiTheme="majorHAnsi" w:hAnsiTheme="majorHAnsi" w:cstheme="majorHAnsi"/>
          <w:sz w:val="20"/>
          <w:szCs w:val="20"/>
        </w:rPr>
        <w:br/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w ofercie: </w:t>
      </w:r>
    </w:p>
    <w:p w14:paraId="2C34522D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6E414CE8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5A3041D6" w14:textId="77777777" w:rsidR="006A54F5" w:rsidRPr="006A54F5" w:rsidRDefault="006A54F5" w:rsidP="006A54F5">
      <w:pPr>
        <w:suppressAutoHyphens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085A9BC4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Liczba punktów oferty (TG) =</w:t>
      </w:r>
      <w:r w:rsidRPr="006A54F5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17166CB2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6A54F5">
        <w:rPr>
          <w:rFonts w:asciiTheme="majorHAnsi" w:hAnsiTheme="majorHAnsi" w:cs="Arial"/>
          <w:sz w:val="20"/>
          <w:szCs w:val="20"/>
        </w:rPr>
        <w:tab/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5254AED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15C5826C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gdzie:</w:t>
      </w:r>
    </w:p>
    <w:p w14:paraId="552921CE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6A54F5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2602BAF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6A54F5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C2021F1" w14:textId="77777777" w:rsidR="006A54F5" w:rsidRPr="00E65B89" w:rsidRDefault="006A54F5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C95A23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2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2"/>
    </w:p>
    <w:p w14:paraId="49C85DA3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Pr="00EA5C8D">
        <w:rPr>
          <w:rFonts w:asciiTheme="majorHAnsi" w:hAnsiTheme="majorHAnsi" w:cstheme="majorHAnsi"/>
          <w:b/>
          <w:sz w:val="20"/>
          <w:szCs w:val="20"/>
        </w:rPr>
        <w:t>10 %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EA5C8D">
      <w:pPr>
        <w:numPr>
          <w:ilvl w:val="0"/>
          <w:numId w:val="5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EA5C8D">
      <w:pPr>
        <w:numPr>
          <w:ilvl w:val="0"/>
          <w:numId w:val="58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EA5C8D">
      <w:pPr>
        <w:numPr>
          <w:ilvl w:val="0"/>
          <w:numId w:val="57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EA5C8D">
      <w:pPr>
        <w:numPr>
          <w:ilvl w:val="1"/>
          <w:numId w:val="55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7F44C873" w:rsidR="006629DC" w:rsidRPr="00A429A3" w:rsidRDefault="006629DC" w:rsidP="00A504E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A429A3">
        <w:rPr>
          <w:rFonts w:asciiTheme="majorHAnsi" w:hAnsiTheme="majorHAnsi" w:cstheme="majorHAnsi"/>
          <w:sz w:val="20"/>
          <w:szCs w:val="20"/>
        </w:rPr>
        <w:br/>
      </w:r>
      <w:r w:rsidRPr="00A429A3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„Przebudowa sięgaczy na ul. Hetmańskiej – etap I”</w:t>
      </w:r>
      <w:r w:rsidR="00A429A3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nr</w:t>
      </w:r>
      <w:r w:rsidR="0092487D">
        <w:rPr>
          <w:rFonts w:asciiTheme="majorHAnsi" w:hAnsiTheme="majorHAnsi" w:cstheme="majorHAnsi"/>
          <w:b/>
          <w:i/>
          <w:sz w:val="20"/>
          <w:szCs w:val="20"/>
        </w:rPr>
        <w:t> 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sprawy: IT.271.38.2020.MM </w:t>
      </w:r>
      <w:r w:rsidRPr="00A429A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A429A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C95A23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prawo do przenoszenia danych osobowych, o którym mowa w art. 20 RODO;</w:t>
      </w:r>
    </w:p>
    <w:p w14:paraId="3F8F5935" w14:textId="77777777" w:rsidR="006629DC" w:rsidRPr="00E65B89" w:rsidRDefault="006629DC" w:rsidP="00C95A23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C95A23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CBA62D3"/>
    <w:multiLevelType w:val="hybridMultilevel"/>
    <w:tmpl w:val="FEF0D3E6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9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BA43BF"/>
    <w:multiLevelType w:val="hybridMultilevel"/>
    <w:tmpl w:val="8578B47A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2" w15:restartNumberingAfterBreak="0">
    <w:nsid w:val="3BBD1389"/>
    <w:multiLevelType w:val="hybridMultilevel"/>
    <w:tmpl w:val="5BE6E4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2D591A"/>
    <w:multiLevelType w:val="hybridMultilevel"/>
    <w:tmpl w:val="F96C5ED8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23D37"/>
    <w:multiLevelType w:val="hybridMultilevel"/>
    <w:tmpl w:val="33E8A3E4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9B5D4D"/>
    <w:multiLevelType w:val="hybridMultilevel"/>
    <w:tmpl w:val="F9E8D1EA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9F66BABE">
      <w:start w:val="1"/>
      <w:numFmt w:val="decimal"/>
      <w:lvlText w:val="%2."/>
      <w:lvlJc w:val="left"/>
      <w:pPr>
        <w:ind w:left="4938" w:hanging="3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E21DEA"/>
    <w:multiLevelType w:val="hybridMultilevel"/>
    <w:tmpl w:val="990838A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1">
      <w:start w:val="1"/>
      <w:numFmt w:val="decimal"/>
      <w:lvlText w:val="%3)"/>
      <w:lvlJc w:val="lef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E92AD1"/>
    <w:multiLevelType w:val="hybridMultilevel"/>
    <w:tmpl w:val="79483FA4"/>
    <w:lvl w:ilvl="0" w:tplc="04150011">
      <w:start w:val="1"/>
      <w:numFmt w:val="decimal"/>
      <w:lvlText w:val="%1)"/>
      <w:lvlJc w:val="left"/>
      <w:pPr>
        <w:ind w:left="2703" w:hanging="360"/>
      </w:p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67" w15:restartNumberingAfterBreak="0">
    <w:nsid w:val="78761238"/>
    <w:multiLevelType w:val="hybridMultilevel"/>
    <w:tmpl w:val="4050A58E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63"/>
  </w:num>
  <w:num w:numId="7">
    <w:abstractNumId w:val="19"/>
  </w:num>
  <w:num w:numId="8">
    <w:abstractNumId w:val="24"/>
  </w:num>
  <w:num w:numId="9">
    <w:abstractNumId w:val="21"/>
  </w:num>
  <w:num w:numId="10">
    <w:abstractNumId w:val="30"/>
  </w:num>
  <w:num w:numId="11">
    <w:abstractNumId w:val="33"/>
  </w:num>
  <w:num w:numId="12">
    <w:abstractNumId w:val="54"/>
  </w:num>
  <w:num w:numId="13">
    <w:abstractNumId w:val="34"/>
  </w:num>
  <w:num w:numId="14">
    <w:abstractNumId w:val="40"/>
  </w:num>
  <w:num w:numId="15">
    <w:abstractNumId w:val="20"/>
  </w:num>
  <w:num w:numId="16">
    <w:abstractNumId w:val="38"/>
  </w:num>
  <w:num w:numId="17">
    <w:abstractNumId w:val="62"/>
  </w:num>
  <w:num w:numId="18">
    <w:abstractNumId w:val="60"/>
  </w:num>
  <w:num w:numId="19">
    <w:abstractNumId w:val="53"/>
  </w:num>
  <w:num w:numId="20">
    <w:abstractNumId w:val="46"/>
  </w:num>
  <w:num w:numId="21">
    <w:abstractNumId w:val="50"/>
  </w:num>
  <w:num w:numId="22">
    <w:abstractNumId w:val="59"/>
  </w:num>
  <w:num w:numId="23">
    <w:abstractNumId w:val="28"/>
  </w:num>
  <w:num w:numId="24">
    <w:abstractNumId w:val="27"/>
  </w:num>
  <w:num w:numId="25">
    <w:abstractNumId w:val="35"/>
  </w:num>
  <w:num w:numId="26">
    <w:abstractNumId w:val="47"/>
  </w:num>
  <w:num w:numId="27">
    <w:abstractNumId w:val="56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31"/>
  </w:num>
  <w:num w:numId="30">
    <w:abstractNumId w:val="51"/>
  </w:num>
  <w:num w:numId="31">
    <w:abstractNumId w:val="8"/>
  </w:num>
  <w:num w:numId="32">
    <w:abstractNumId w:val="58"/>
  </w:num>
  <w:num w:numId="33">
    <w:abstractNumId w:val="16"/>
  </w:num>
  <w:num w:numId="34">
    <w:abstractNumId w:val="37"/>
  </w:num>
  <w:num w:numId="35">
    <w:abstractNumId w:val="29"/>
  </w:num>
  <w:num w:numId="36">
    <w:abstractNumId w:val="64"/>
  </w:num>
  <w:num w:numId="37">
    <w:abstractNumId w:val="23"/>
  </w:num>
  <w:num w:numId="38">
    <w:abstractNumId w:val="26"/>
  </w:num>
  <w:num w:numId="39">
    <w:abstractNumId w:val="39"/>
  </w:num>
  <w:num w:numId="40">
    <w:abstractNumId w:val="32"/>
  </w:num>
  <w:num w:numId="41">
    <w:abstractNumId w:val="68"/>
  </w:num>
  <w:num w:numId="42">
    <w:abstractNumId w:val="69"/>
  </w:num>
  <w:num w:numId="43">
    <w:abstractNumId w:val="49"/>
  </w:num>
  <w:num w:numId="44">
    <w:abstractNumId w:val="57"/>
  </w:num>
  <w:num w:numId="45">
    <w:abstractNumId w:val="48"/>
  </w:num>
  <w:num w:numId="46">
    <w:abstractNumId w:val="22"/>
  </w:num>
  <w:num w:numId="47">
    <w:abstractNumId w:val="70"/>
  </w:num>
  <w:num w:numId="48">
    <w:abstractNumId w:val="42"/>
  </w:num>
  <w:num w:numId="49">
    <w:abstractNumId w:val="66"/>
  </w:num>
  <w:num w:numId="50">
    <w:abstractNumId w:val="55"/>
  </w:num>
  <w:num w:numId="51">
    <w:abstractNumId w:val="44"/>
  </w:num>
  <w:num w:numId="52">
    <w:abstractNumId w:val="61"/>
  </w:num>
  <w:num w:numId="53">
    <w:abstractNumId w:val="41"/>
  </w:num>
  <w:num w:numId="54">
    <w:abstractNumId w:val="67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</w:num>
  <w:num w:numId="60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4"/>
      </w:numPr>
    </w:pPr>
  </w:style>
  <w:style w:type="numbering" w:customStyle="1" w:styleId="WWNum3">
    <w:name w:val="WWNum3"/>
    <w:basedOn w:val="Bezlisty"/>
    <w:rsid w:val="007C1B3B"/>
    <w:pPr>
      <w:numPr>
        <w:numId w:val="35"/>
      </w:numPr>
    </w:pPr>
  </w:style>
  <w:style w:type="numbering" w:customStyle="1" w:styleId="WWNum7">
    <w:name w:val="WWNum7"/>
    <w:basedOn w:val="Bezlisty"/>
    <w:rsid w:val="007C1B3B"/>
    <w:pPr>
      <w:numPr>
        <w:numId w:val="36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0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6338</Words>
  <Characters>38030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10</cp:revision>
  <cp:lastPrinted>2020-05-27T12:50:00Z</cp:lastPrinted>
  <dcterms:created xsi:type="dcterms:W3CDTF">2020-05-27T05:47:00Z</dcterms:created>
  <dcterms:modified xsi:type="dcterms:W3CDTF">2020-05-27T12:53:00Z</dcterms:modified>
</cp:coreProperties>
</file>