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632"/>
        <w:gridCol w:w="4161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211921EC" w14:textId="77777777" w:rsidTr="002B58D9">
              <w:tc>
                <w:tcPr>
                  <w:tcW w:w="9577" w:type="dxa"/>
                </w:tcPr>
                <w:p w14:paraId="79D2A537" w14:textId="4152A813" w:rsidR="00F41C3A" w:rsidRPr="00BD0A25" w:rsidRDefault="00D34A10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D34A10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"</w:t>
                  </w:r>
                  <w:r w:rsidR="00D25FAC" w:rsidRPr="00D25FA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Przebudowa przepustu na rowie melioracyjnym w ciągu ulicy Stawowej</w:t>
                  </w:r>
                  <w:r w:rsidRPr="00D34A10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”</w:t>
                  </w:r>
                </w:p>
              </w:tc>
            </w:tr>
            <w:tr w:rsidR="00F41C3A" w:rsidRPr="00BD0A25" w14:paraId="4AD7D4DF" w14:textId="77777777" w:rsidTr="002B58D9">
              <w:tc>
                <w:tcPr>
                  <w:tcW w:w="9577" w:type="dxa"/>
                </w:tcPr>
                <w:p w14:paraId="5C3726C9" w14:textId="3FCD970E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BD0A2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nr sprawy: </w:t>
                  </w:r>
                  <w:r w:rsidR="00FE0536" w:rsidRPr="00FE0536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IM.271.</w:t>
                  </w:r>
                  <w:r w:rsidR="004F15B1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32</w:t>
                  </w:r>
                  <w:r w:rsidR="00FE0536" w:rsidRPr="00FE0536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.2020.</w:t>
                  </w:r>
                  <w:r w:rsidR="004F15B1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JP</w:t>
                  </w: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138740C0" w:rsidR="00203E22" w:rsidRPr="00E65B89" w:rsidRDefault="006C7601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06C79429" w:rsidR="000A612E" w:rsidRPr="00562ABE" w:rsidRDefault="00C95A23" w:rsidP="001F0C1A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1F0C1A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5801F2CC" w:rsidR="008C6170" w:rsidRPr="00E65B89" w:rsidRDefault="00D34A1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D34A10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20482F60" w14:textId="77777777" w:rsidR="00D25FAC" w:rsidRDefault="00C95A23" w:rsidP="00D25FAC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5447F">
        <w:rPr>
          <w:rFonts w:asciiTheme="majorHAnsi" w:hAnsiTheme="majorHAnsi" w:cstheme="majorHAnsi"/>
          <w:sz w:val="20"/>
          <w:szCs w:val="20"/>
        </w:rPr>
        <w:t xml:space="preserve">Przedmiotem zamówienia </w:t>
      </w:r>
      <w:r>
        <w:rPr>
          <w:rFonts w:asciiTheme="majorHAnsi" w:hAnsiTheme="majorHAnsi" w:cstheme="majorHAnsi"/>
          <w:sz w:val="20"/>
          <w:szCs w:val="20"/>
        </w:rPr>
        <w:t xml:space="preserve">jest </w:t>
      </w:r>
      <w:r w:rsidR="00D34A10" w:rsidRPr="00D34A10">
        <w:rPr>
          <w:rFonts w:asciiTheme="majorHAnsi" w:hAnsiTheme="majorHAnsi" w:cstheme="majorHAnsi"/>
          <w:sz w:val="20"/>
          <w:szCs w:val="20"/>
        </w:rPr>
        <w:t xml:space="preserve">przebudowa </w:t>
      </w:r>
      <w:r w:rsidR="00D25FAC" w:rsidRPr="00D25FAC">
        <w:rPr>
          <w:rFonts w:asciiTheme="majorHAnsi" w:hAnsiTheme="majorHAnsi" w:cstheme="majorHAnsi"/>
          <w:sz w:val="20"/>
          <w:szCs w:val="20"/>
        </w:rPr>
        <w:t>przepustu na rowie melioracyjnym w ciągu ulicy Stawowej</w:t>
      </w:r>
      <w:r w:rsidR="00D34A10" w:rsidRPr="00D34A10">
        <w:rPr>
          <w:rFonts w:asciiTheme="majorHAnsi" w:hAnsiTheme="majorHAnsi" w:cstheme="majorHAnsi"/>
          <w:sz w:val="20"/>
          <w:szCs w:val="20"/>
        </w:rPr>
        <w:t>.</w:t>
      </w:r>
    </w:p>
    <w:p w14:paraId="5549CC4E" w14:textId="77777777" w:rsidR="00D25FAC" w:rsidRDefault="00D25FAC" w:rsidP="00D25FAC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W ramach zadania inwestycyjnego przewiduje się wykonać przebudowę przepustu na rowie melioracyjnym w Zduńskiej Woli na ulicy Stawowej. Proponuje się likwidację istniejącego przepustu żelbetowego okularowego 2x1000 mm, a w jego miejsce wykonanie przepustu z rury stalowej karbowanej łukowo – kołowej .Całkowita długość projektowanej rury przepustu wynosi ok. 11,00 m. Inwestycja wymaga także wykonania robót tymczasowych i towarzyszących:</w:t>
      </w:r>
    </w:p>
    <w:p w14:paraId="696F1DA6" w14:textId="57C90175" w:rsidR="00D25FAC" w:rsidRPr="00D25FAC" w:rsidRDefault="00D25FAC" w:rsidP="00D25FAC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Zakres zamówienia obejmie:</w:t>
      </w:r>
    </w:p>
    <w:p w14:paraId="66D162B0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rozbiórkę istniejącego przepustu,</w:t>
      </w:r>
    </w:p>
    <w:p w14:paraId="09C3DDAC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budowę tymczasowego przepustu,</w:t>
      </w:r>
    </w:p>
    <w:p w14:paraId="3A1BB9E5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wykonanie tymczasowej drogi dojazdowej o nawierzchni tłuczniowej,</w:t>
      </w:r>
    </w:p>
    <w:p w14:paraId="54B758B0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wykonanie tymczasowego kanału obiegowego,</w:t>
      </w:r>
    </w:p>
    <w:p w14:paraId="18D23141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budowę nowego przepustu,</w:t>
      </w:r>
    </w:p>
    <w:p w14:paraId="52B851DF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rozbiórkę tymczasowego przepustu,</w:t>
      </w:r>
    </w:p>
    <w:p w14:paraId="0429A7E4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rozbiórkę tymczasowego kanału obiegowego</w:t>
      </w:r>
    </w:p>
    <w:p w14:paraId="4D1A7B11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wykonanie tymczasowej organizacji ruchu,</w:t>
      </w:r>
    </w:p>
    <w:p w14:paraId="0BF01F95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rozbiórkę tymczasowej drogi dojazdowej,</w:t>
      </w:r>
    </w:p>
    <w:p w14:paraId="15F859E5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przebudowę sieci wodociągowej,</w:t>
      </w:r>
    </w:p>
    <w:p w14:paraId="739D5398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wycinkę kolidujących drzew i krzewów,</w:t>
      </w:r>
    </w:p>
    <w:p w14:paraId="759CF144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dostawę i montażu barier ochronnych oraz oznakowania,</w:t>
      </w:r>
    </w:p>
    <w:p w14:paraId="20E0B212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umocnienie skarp czołowych, bocznych  oraz dna przepustu,</w:t>
      </w:r>
    </w:p>
    <w:p w14:paraId="671C1376" w14:textId="77777777" w:rsidR="00D25FAC" w:rsidRPr="00D25FAC" w:rsidRDefault="00D25FAC" w:rsidP="00D25FAC">
      <w:pPr>
        <w:numPr>
          <w:ilvl w:val="0"/>
          <w:numId w:val="53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wykonanie nawierzchni drogi wraz z podbudową,</w:t>
      </w:r>
    </w:p>
    <w:p w14:paraId="3B23752D" w14:textId="77777777" w:rsidR="00D25FAC" w:rsidRPr="00D25FAC" w:rsidRDefault="00D25FAC" w:rsidP="00D25FAC">
      <w:pPr>
        <w:numPr>
          <w:ilvl w:val="0"/>
          <w:numId w:val="37"/>
        </w:numPr>
        <w:tabs>
          <w:tab w:val="clear" w:pos="363"/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Zamawiający informuje, że szczegółowy opis przedmiotu zamówienia zawarty jest: w dokumentacji projektowej, przedmiarach robót oraz specyfikacjach technicznych wykonania i odbioru robót, będących załącznikami do SIWZ. Przedłożone przedmiary robót mogą być nie szczegółowe i mają charakter orientacyjny, należy uwzględnić wszystkie nieujęte do przedmiaru elementy wynikające z projektu lub nieuwzględnione w projekcie, a niezbędne do prawidłowego wykonania zadania, w przypadku drewna pozyskanego z wycinki drzew Wykonawca wyceni wartość drewna z wycinki i o tą wartość pomniejszy wartość oferty.</w:t>
      </w:r>
    </w:p>
    <w:p w14:paraId="5A531AFC" w14:textId="77777777" w:rsidR="00D25FAC" w:rsidRPr="00D25FAC" w:rsidRDefault="00D25FAC" w:rsidP="00D25FAC">
      <w:pPr>
        <w:numPr>
          <w:ilvl w:val="0"/>
          <w:numId w:val="37"/>
        </w:numPr>
        <w:tabs>
          <w:tab w:val="clear" w:pos="363"/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Użyte materiały winny posiadać wymagane certyfikaty, atesty oraz inne dokumenty   uprawniające je do wbudowania czy zainstalowania w przestrzeni publicznej.</w:t>
      </w:r>
    </w:p>
    <w:p w14:paraId="413F1501" w14:textId="77777777" w:rsidR="00D25FAC" w:rsidRPr="00D25FAC" w:rsidRDefault="00D25FAC" w:rsidP="00D25FAC">
      <w:pPr>
        <w:numPr>
          <w:ilvl w:val="0"/>
          <w:numId w:val="37"/>
        </w:numPr>
        <w:tabs>
          <w:tab w:val="clear" w:pos="363"/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Wykonawca, którego oferta zostanie uznana za najkorzystniejszą, zobowiązany jest do sporządzenia i dostarczenia Zamawiającemu kosztorysu odzwierciedlającego cenę za wykonanie przedmiotu zamówienia i harmonogramu rzeczowo - finansowego w terminie 20 dni od dnia zawarcia niniejszej umowy.</w:t>
      </w:r>
    </w:p>
    <w:p w14:paraId="43FB73F1" w14:textId="5595F293" w:rsidR="000A4C8F" w:rsidRPr="000A4C8F" w:rsidRDefault="000A4C8F" w:rsidP="000A4C8F">
      <w:pPr>
        <w:numPr>
          <w:ilvl w:val="0"/>
          <w:numId w:val="37"/>
        </w:numPr>
        <w:tabs>
          <w:tab w:val="clear" w:pos="363"/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0A4C8F">
        <w:rPr>
          <w:rFonts w:asciiTheme="majorHAnsi" w:hAnsiTheme="majorHAnsi" w:cstheme="majorHAnsi"/>
          <w:sz w:val="20"/>
          <w:szCs w:val="20"/>
        </w:rPr>
        <w:t xml:space="preserve">Jeżeli w projekcie budowlanym użyte są znaki towarowe, patenty lub pochodzenie, źródło lub szczególny proces, który charakteryzuje produkty lub usługi dostarczane przez konkretnego wykonawcę, Zamawiający dopuszcza ujęcie w ofercie, a następnie zastosowanie rozwiązań równoważnych, o ile zapewnią one zgodność realizacji przedmiotu zamówienia z ww. projektem budowlanym. </w:t>
      </w:r>
    </w:p>
    <w:p w14:paraId="4A4CB8A5" w14:textId="77777777" w:rsidR="00366E3A" w:rsidRPr="00366E3A" w:rsidRDefault="00366E3A" w:rsidP="00366E3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366E3A">
        <w:rPr>
          <w:rFonts w:asciiTheme="majorHAnsi" w:hAnsiTheme="majorHAnsi" w:cstheme="majorHAnsi"/>
          <w:sz w:val="20"/>
          <w:szCs w:val="20"/>
        </w:rPr>
        <w:t xml:space="preserve">Jeżeli w dokumentacji projektowej, przedmiarach robót, specyfikacjach technicznych wykonania i odbioru robót stanowiących załączniki do SIWZ użyte są znaki towarowe, patenty lub pochodzenie, źródło lub szczególny proces, który charakteryzuje </w:t>
      </w:r>
      <w:r w:rsidRPr="00366E3A">
        <w:rPr>
          <w:rFonts w:asciiTheme="majorHAnsi" w:hAnsiTheme="majorHAnsi" w:cstheme="majorHAnsi"/>
          <w:sz w:val="20"/>
          <w:szCs w:val="20"/>
        </w:rPr>
        <w:lastRenderedPageBreak/>
        <w:t xml:space="preserve">produkty lub usługi dostarczane przez konkretnego wykonawcę, Zamawiający dopuszcza rozwiązania równoważne opisywanym w wyżej wymienionej dokumentacji - w zakresie wskazanych norm/aprobat/specyfikacji technicznych/systemów odniesienia, pod warunkiem spełnienia tych samych lub lepszych właściwości technicznych. </w:t>
      </w:r>
    </w:p>
    <w:p w14:paraId="7C547717" w14:textId="77777777" w:rsidR="00366E3A" w:rsidRPr="00366E3A" w:rsidRDefault="00366E3A" w:rsidP="00366E3A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66E3A">
        <w:rPr>
          <w:rFonts w:asciiTheme="majorHAnsi" w:hAnsiTheme="majorHAnsi" w:cstheme="majorHAnsi"/>
          <w:sz w:val="20"/>
          <w:szCs w:val="20"/>
        </w:rPr>
        <w:t>Wszelkie użyte w tekście nazwy własne nie oznaczają konieczności zastosowania konkretnego produktu, a jedynie stanowią odniesienie do minimalnego, wymaganego przez Zamawiającego poziomu jakości, parametrów technicznych bądź standardu estetycznego i mogą zostać zastąpione przez dowolny produkt lub materiał o cechach odpowiadających lub przewyższających przywołany przykład.</w:t>
      </w:r>
    </w:p>
    <w:p w14:paraId="4F69B5CD" w14:textId="51A2A76F" w:rsidR="00366E3A" w:rsidRPr="00366E3A" w:rsidRDefault="00366E3A" w:rsidP="00366E3A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366E3A">
        <w:rPr>
          <w:rFonts w:asciiTheme="majorHAnsi" w:hAnsiTheme="majorHAnsi" w:cstheme="majorHAnsi"/>
          <w:sz w:val="20"/>
          <w:szCs w:val="20"/>
        </w:rPr>
        <w:t xml:space="preserve">Wykonawca, który powołuje się na rozwiązania równoważne opisywanym przez Zamawiającego, jest obowiązany wykazać, że oferowane przez niego dostawy, usługi lub roboty budowlane spełniają wymogi określone przez Zamawiającego i wyspecyfikować w ofercie równoważne rozwiązania. Ciężar udowodnienia, że materiał (wyrób) jest równoważny w stosunku do wymogu określonego przez zamawiającego spoczywa na składającym ofertę. W takim wypadku wykonawca musi przedłożyć odpowiednie dokumenty opisujące parametry techniczne, wymagane prawem certyfikaty i inne dokumenty dopuszczające dane materiały (wyroby) do użytkowania, oraz pozwalające jednoznacznie stwierdzić, że są one rzeczywiście równoważne. Celem opisu rozwiązań równoważnych względem dokumentacji technicznej Zamawiający zamieszcza  załącznik </w:t>
      </w:r>
      <w:r>
        <w:rPr>
          <w:rFonts w:asciiTheme="majorHAnsi" w:hAnsiTheme="majorHAnsi" w:cstheme="majorHAnsi"/>
          <w:sz w:val="20"/>
          <w:szCs w:val="20"/>
        </w:rPr>
        <w:t>Aneks do „</w:t>
      </w:r>
      <w:r w:rsidRPr="00366E3A">
        <w:rPr>
          <w:rFonts w:asciiTheme="majorHAnsi" w:hAnsiTheme="majorHAnsi" w:cstheme="majorHAnsi"/>
          <w:sz w:val="20"/>
          <w:szCs w:val="20"/>
        </w:rPr>
        <w:t>PROJEKTU BUDOWLANO - WYKONAWCZEGO PRZEBUDOWY PRZEPUSTU NA ROWIE MELIORACYJNYM ( DZ. NR EW. 134; 144) W CIĄGU DROGI GMINNEJ UL. STAWOWA ( DZ NR EW. 128) W ZDUŃSKIEJ WOLI, BUDOWA PRZEPUSTU TYMCZASOWEGO NA ROWIE MELOIRACYJNYM ( DZ. NR EW. 134), BUDOWA TYMCZASOWEJ DROGI DOJAZDOWEJ ( DZ NR EW 134) ORAZ BUDOWA TYMCZASOWEGO KANAŁU OBIEGOWEGO NA CZAS PRZEBUDOWY</w:t>
      </w:r>
      <w:r>
        <w:rPr>
          <w:rFonts w:asciiTheme="majorHAnsi" w:hAnsiTheme="majorHAnsi" w:cstheme="majorHAnsi"/>
          <w:sz w:val="20"/>
          <w:szCs w:val="20"/>
        </w:rPr>
        <w:t xml:space="preserve">” stanowiący część załącznika </w:t>
      </w:r>
      <w:r w:rsidRPr="00366E3A">
        <w:rPr>
          <w:rFonts w:asciiTheme="majorHAnsi" w:hAnsiTheme="majorHAnsi" w:cstheme="majorHAnsi"/>
          <w:sz w:val="20"/>
          <w:szCs w:val="20"/>
        </w:rPr>
        <w:t xml:space="preserve">nr </w:t>
      </w:r>
      <w:r>
        <w:rPr>
          <w:rFonts w:asciiTheme="majorHAnsi" w:hAnsiTheme="majorHAnsi" w:cstheme="majorHAnsi"/>
          <w:sz w:val="20"/>
          <w:szCs w:val="20"/>
        </w:rPr>
        <w:t>5</w:t>
      </w:r>
      <w:r w:rsidRPr="00366E3A">
        <w:rPr>
          <w:rFonts w:asciiTheme="majorHAnsi" w:hAnsiTheme="majorHAnsi" w:cstheme="majorHAnsi"/>
          <w:sz w:val="20"/>
          <w:szCs w:val="20"/>
        </w:rPr>
        <w:t xml:space="preserve"> do SIWZ – </w:t>
      </w:r>
      <w:r>
        <w:rPr>
          <w:rFonts w:asciiTheme="majorHAnsi" w:hAnsiTheme="majorHAnsi" w:cstheme="majorHAnsi"/>
          <w:sz w:val="20"/>
          <w:szCs w:val="20"/>
        </w:rPr>
        <w:t>Dokumentacja techniczna</w:t>
      </w:r>
      <w:r w:rsidRPr="00366E3A">
        <w:rPr>
          <w:rFonts w:asciiTheme="majorHAnsi" w:hAnsiTheme="majorHAnsi" w:cstheme="majorHAnsi"/>
          <w:sz w:val="20"/>
          <w:szCs w:val="20"/>
        </w:rPr>
        <w:t>.</w:t>
      </w:r>
    </w:p>
    <w:p w14:paraId="2C15B0F0" w14:textId="1287ACA2" w:rsidR="00D25FAC" w:rsidRPr="00D25FAC" w:rsidRDefault="00D25FAC" w:rsidP="000A4C8F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Podstawa wykonania robót.</w:t>
      </w:r>
    </w:p>
    <w:p w14:paraId="5731BE67" w14:textId="77777777" w:rsidR="00D25FAC" w:rsidRPr="00D25FAC" w:rsidRDefault="00D25FAC" w:rsidP="00D25FAC">
      <w:pPr>
        <w:numPr>
          <w:ilvl w:val="0"/>
          <w:numId w:val="54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Zgłoszenie zamiaru wykonania robót  AB.6743.1.558.2017 przyjęte w dniu 18.12.2017 roku.</w:t>
      </w:r>
    </w:p>
    <w:p w14:paraId="2A625FBE" w14:textId="77777777" w:rsidR="00D25FAC" w:rsidRPr="00D25FAC" w:rsidRDefault="00D25FAC" w:rsidP="00D25FAC">
      <w:pPr>
        <w:numPr>
          <w:ilvl w:val="0"/>
          <w:numId w:val="54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 xml:space="preserve"> Dokumentacja projektowa.</w:t>
      </w:r>
    </w:p>
    <w:p w14:paraId="1AFFCC33" w14:textId="77777777" w:rsidR="00D25FAC" w:rsidRPr="00D25FAC" w:rsidRDefault="00D25FAC" w:rsidP="00D25FAC">
      <w:pPr>
        <w:numPr>
          <w:ilvl w:val="0"/>
          <w:numId w:val="54"/>
        </w:numPr>
        <w:tabs>
          <w:tab w:val="clear" w:pos="363"/>
          <w:tab w:val="left" w:pos="3855"/>
        </w:tabs>
        <w:spacing w:after="40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Specyfikacja techniczna wykonania i odbioru robót.</w:t>
      </w:r>
    </w:p>
    <w:p w14:paraId="624981A3" w14:textId="383A63DC" w:rsidR="00D25FAC" w:rsidRPr="00D25FAC" w:rsidRDefault="00D25FAC" w:rsidP="00D25FAC">
      <w:pPr>
        <w:numPr>
          <w:ilvl w:val="0"/>
          <w:numId w:val="37"/>
        </w:numPr>
        <w:tabs>
          <w:tab w:val="clear" w:pos="363"/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Informacje dodatkowe.</w:t>
      </w:r>
    </w:p>
    <w:p w14:paraId="38FF4480" w14:textId="77777777" w:rsidR="00D25FAC" w:rsidRPr="00D25FAC" w:rsidRDefault="00D25FAC" w:rsidP="00D25FAC">
      <w:pPr>
        <w:numPr>
          <w:ilvl w:val="0"/>
          <w:numId w:val="55"/>
        </w:numPr>
        <w:tabs>
          <w:tab w:val="clear" w:pos="363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Zamawiający informuje, że zadnie będzie wykonywane w przestrzeni publicznej.</w:t>
      </w:r>
    </w:p>
    <w:p w14:paraId="33F3A6C3" w14:textId="77777777" w:rsidR="00D25FAC" w:rsidRPr="00D25FAC" w:rsidRDefault="00D25FAC" w:rsidP="00D25FAC">
      <w:pPr>
        <w:numPr>
          <w:ilvl w:val="0"/>
          <w:numId w:val="55"/>
        </w:numPr>
        <w:tabs>
          <w:tab w:val="clear" w:pos="363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końcowego.</w:t>
      </w:r>
    </w:p>
    <w:p w14:paraId="25514C86" w14:textId="77777777" w:rsidR="00D25FAC" w:rsidRPr="00D25FAC" w:rsidRDefault="00D25FAC" w:rsidP="00D25FAC">
      <w:pPr>
        <w:numPr>
          <w:ilvl w:val="0"/>
          <w:numId w:val="55"/>
        </w:numPr>
        <w:tabs>
          <w:tab w:val="clear" w:pos="363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Zakres zamówienia obejmuje również obowiązki Wykonawcy wyszczególnione w § 4 wzoru umowy.</w:t>
      </w:r>
    </w:p>
    <w:p w14:paraId="3AF187AC" w14:textId="77777777" w:rsidR="00D25FAC" w:rsidRPr="00D25FAC" w:rsidRDefault="00D25FAC" w:rsidP="00D25FAC">
      <w:pPr>
        <w:numPr>
          <w:ilvl w:val="0"/>
          <w:numId w:val="55"/>
        </w:numPr>
        <w:tabs>
          <w:tab w:val="clear" w:pos="363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 xml:space="preserve">Materiały i wyroby użyte do wykonania przedmiotu zamówienia winny spełniać wymogi określone w przepisach prawa polskiego, posiadać atesty lub świadectwa ITB dopuszczające stosowanie ich w obiektach użyteczności publicznej, deklarację zgodności, krajową ocenę techniczną, </w:t>
      </w:r>
      <w:proofErr w:type="spellStart"/>
      <w:r w:rsidRPr="00D25FAC">
        <w:rPr>
          <w:rFonts w:asciiTheme="majorHAnsi" w:hAnsiTheme="majorHAnsi" w:cstheme="majorHAnsi"/>
          <w:sz w:val="20"/>
          <w:szCs w:val="20"/>
        </w:rPr>
        <w:t>IBDiM</w:t>
      </w:r>
      <w:proofErr w:type="spellEnd"/>
      <w:r w:rsidRPr="00D25FAC">
        <w:rPr>
          <w:rFonts w:asciiTheme="majorHAnsi" w:hAnsiTheme="majorHAnsi" w:cstheme="majorHAnsi"/>
          <w:sz w:val="20"/>
          <w:szCs w:val="20"/>
        </w:rPr>
        <w:t xml:space="preserve"> dopuszczające do stosowania w budownictwie komunikacyjnym.</w:t>
      </w:r>
    </w:p>
    <w:p w14:paraId="5EEEA6E7" w14:textId="2CC89476" w:rsidR="00D25FAC" w:rsidRPr="00D25FAC" w:rsidRDefault="00D25FAC" w:rsidP="00D25FAC">
      <w:pPr>
        <w:numPr>
          <w:ilvl w:val="0"/>
          <w:numId w:val="55"/>
        </w:numPr>
        <w:tabs>
          <w:tab w:val="clear" w:pos="363"/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Przy wykonawstwie oraz odbiorze robót objętych zamówieniem obowiązywać będą zasady i wymagania określone w:</w:t>
      </w:r>
    </w:p>
    <w:p w14:paraId="0485C875" w14:textId="77777777" w:rsidR="00D25FAC" w:rsidRPr="00D25FAC" w:rsidRDefault="00D25FAC" w:rsidP="00D25FAC">
      <w:pPr>
        <w:numPr>
          <w:ilvl w:val="0"/>
          <w:numId w:val="56"/>
        </w:numPr>
        <w:tabs>
          <w:tab w:val="clear" w:pos="363"/>
          <w:tab w:val="left" w:pos="3855"/>
        </w:tabs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dokumentacji projektowej,</w:t>
      </w:r>
    </w:p>
    <w:p w14:paraId="1B67F07F" w14:textId="77777777" w:rsidR="00D25FAC" w:rsidRPr="00D25FAC" w:rsidRDefault="00D25FAC" w:rsidP="00D25FAC">
      <w:pPr>
        <w:numPr>
          <w:ilvl w:val="0"/>
          <w:numId w:val="56"/>
        </w:numPr>
        <w:tabs>
          <w:tab w:val="clear" w:pos="363"/>
          <w:tab w:val="left" w:pos="3855"/>
        </w:tabs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specyfikacji Technicznej Wykonania i Odbioru Robót Budowlanych,</w:t>
      </w:r>
    </w:p>
    <w:p w14:paraId="7D81F041" w14:textId="77777777" w:rsidR="00D25FAC" w:rsidRPr="00D25FAC" w:rsidRDefault="00D25FAC" w:rsidP="00D25FAC">
      <w:pPr>
        <w:numPr>
          <w:ilvl w:val="0"/>
          <w:numId w:val="56"/>
        </w:numPr>
        <w:tabs>
          <w:tab w:val="clear" w:pos="363"/>
          <w:tab w:val="left" w:pos="3855"/>
        </w:tabs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specyfikacji Istotnych Warunków Zamówienia,</w:t>
      </w:r>
    </w:p>
    <w:p w14:paraId="7CEAEFAF" w14:textId="77777777" w:rsidR="00D25FAC" w:rsidRPr="00D25FAC" w:rsidRDefault="00D25FAC" w:rsidP="00D25FAC">
      <w:pPr>
        <w:numPr>
          <w:ilvl w:val="0"/>
          <w:numId w:val="56"/>
        </w:numPr>
        <w:tabs>
          <w:tab w:val="clear" w:pos="363"/>
          <w:tab w:val="left" w:pos="3855"/>
        </w:tabs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obowiązujących normach,</w:t>
      </w:r>
    </w:p>
    <w:p w14:paraId="5BFA195D" w14:textId="77777777" w:rsidR="00D25FAC" w:rsidRPr="00D25FAC" w:rsidRDefault="00D25FAC" w:rsidP="00D25FAC">
      <w:pPr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z uwzględnieniem poniższych warunków:</w:t>
      </w:r>
    </w:p>
    <w:p w14:paraId="24ABEA51" w14:textId="77777777" w:rsidR="00D25FAC" w:rsidRPr="00D25FAC" w:rsidRDefault="00D25FAC" w:rsidP="00D25FAC">
      <w:pPr>
        <w:numPr>
          <w:ilvl w:val="0"/>
          <w:numId w:val="48"/>
        </w:numPr>
        <w:tabs>
          <w:tab w:val="clear" w:pos="363"/>
          <w:tab w:val="left" w:pos="3855"/>
        </w:tabs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przy wycenie oferty szczególną uwagę należy zwrócić na elementy wykończeniowe,</w:t>
      </w:r>
    </w:p>
    <w:p w14:paraId="7248DD9F" w14:textId="77777777" w:rsidR="00D25FAC" w:rsidRPr="00D25FAC" w:rsidRDefault="00D25FAC" w:rsidP="00D25FAC">
      <w:pPr>
        <w:numPr>
          <w:ilvl w:val="0"/>
          <w:numId w:val="48"/>
        </w:numPr>
        <w:tabs>
          <w:tab w:val="clear" w:pos="363"/>
          <w:tab w:val="left" w:pos="3855"/>
        </w:tabs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materiały mają być zastosowane z uwzględnieniem wszelkich wymogów zawartych w opisach dokumentacji wykonawczej oraz specyfikacji technicznej wykonania i odbioru robót,</w:t>
      </w:r>
    </w:p>
    <w:p w14:paraId="706AFF71" w14:textId="77777777" w:rsidR="00D25FAC" w:rsidRPr="00D25FAC" w:rsidRDefault="00D25FAC" w:rsidP="00D25FAC">
      <w:pPr>
        <w:numPr>
          <w:ilvl w:val="0"/>
          <w:numId w:val="48"/>
        </w:numPr>
        <w:tabs>
          <w:tab w:val="clear" w:pos="363"/>
          <w:tab w:val="left" w:pos="3855"/>
        </w:tabs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wykonawca zobowiązany jest ściśle przestrzegać instrukcji montażu wszelkich systemów stosowanych w wykonywanym obiekcie według instrukcji  wydanych przez producentów poszczególnych systemów,</w:t>
      </w:r>
    </w:p>
    <w:p w14:paraId="08D8FD44" w14:textId="2B8791A0" w:rsidR="00D34A10" w:rsidRPr="001A7171" w:rsidRDefault="00D25FAC" w:rsidP="001A7171">
      <w:pPr>
        <w:numPr>
          <w:ilvl w:val="0"/>
          <w:numId w:val="48"/>
        </w:numPr>
        <w:tabs>
          <w:tab w:val="clear" w:pos="363"/>
          <w:tab w:val="left" w:pos="3855"/>
        </w:tabs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</w:t>
      </w:r>
    </w:p>
    <w:p w14:paraId="3B717C47" w14:textId="77777777" w:rsidR="00C95A23" w:rsidRPr="00931D07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0BB9733B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 xml:space="preserve"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</w:t>
      </w:r>
      <w:r w:rsidRPr="008B38A3">
        <w:rPr>
          <w:rFonts w:asciiTheme="majorHAnsi" w:hAnsiTheme="majorHAnsi" w:cstheme="majorHAnsi"/>
          <w:sz w:val="20"/>
          <w:szCs w:val="20"/>
        </w:rPr>
        <w:lastRenderedPageBreak/>
        <w:t>wykonawca powoływał się w trakcie postępowania o udzielenie zamówienia. Powierzenie wykonania części zamówienia podwykonawcom nie zwalnia Wykonawcy z odpowiedzialności za należyte wykonanie zamówienia.</w:t>
      </w:r>
    </w:p>
    <w:p w14:paraId="64866431" w14:textId="77777777" w:rsidR="00C95A2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wymaga zatrudnienia przez wykonawcę lub podwykonawcę na podstawie umowy o pracę osób wykonujących czynności polegające na faktycznym wykonywaniu robót budowlano-montażowych objętych zakresem</w:t>
      </w:r>
      <w:r w:rsidRPr="005D7F87">
        <w:rPr>
          <w:rFonts w:asciiTheme="majorHAnsi" w:hAnsiTheme="majorHAnsi" w:cstheme="majorHAnsi"/>
          <w:sz w:val="20"/>
        </w:rPr>
        <w:t xml:space="preserve"> zamówienia, tj.:</w:t>
      </w:r>
    </w:p>
    <w:p w14:paraId="51883EA5" w14:textId="77777777" w:rsidR="00D25FAC" w:rsidRPr="00D25FAC" w:rsidRDefault="00D25FAC" w:rsidP="00D25FAC">
      <w:pPr>
        <w:numPr>
          <w:ilvl w:val="0"/>
          <w:numId w:val="52"/>
        </w:numPr>
        <w:tabs>
          <w:tab w:val="clear" w:pos="363"/>
          <w:tab w:val="num" w:pos="851"/>
          <w:tab w:val="left" w:pos="3855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roboty rozbiórkowe,</w:t>
      </w:r>
    </w:p>
    <w:p w14:paraId="72D81116" w14:textId="77777777" w:rsidR="00D25FAC" w:rsidRPr="00D25FAC" w:rsidRDefault="00D25FAC" w:rsidP="00D25FAC">
      <w:pPr>
        <w:numPr>
          <w:ilvl w:val="0"/>
          <w:numId w:val="52"/>
        </w:numPr>
        <w:tabs>
          <w:tab w:val="clear" w:pos="363"/>
          <w:tab w:val="num" w:pos="851"/>
          <w:tab w:val="left" w:pos="3855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roboty drogowe,</w:t>
      </w:r>
    </w:p>
    <w:p w14:paraId="66146E54" w14:textId="77777777" w:rsidR="00D25FAC" w:rsidRPr="00D25FAC" w:rsidRDefault="00D25FAC" w:rsidP="00D25FAC">
      <w:pPr>
        <w:numPr>
          <w:ilvl w:val="0"/>
          <w:numId w:val="52"/>
        </w:numPr>
        <w:tabs>
          <w:tab w:val="clear" w:pos="363"/>
          <w:tab w:val="num" w:pos="851"/>
          <w:tab w:val="left" w:pos="3855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roboty inżynieryjno-instalacyjne.</w:t>
      </w:r>
    </w:p>
    <w:p w14:paraId="17DF32F5" w14:textId="77777777" w:rsidR="00C95A23" w:rsidRDefault="00C95A23" w:rsidP="00C95A23">
      <w:pPr>
        <w:pStyle w:val="pkt"/>
        <w:autoSpaceDN w:val="0"/>
        <w:spacing w:before="0" w:after="40"/>
        <w:ind w:left="284" w:firstLine="0"/>
        <w:rPr>
          <w:rFonts w:asciiTheme="majorHAnsi" w:hAnsiTheme="majorHAnsi" w:cstheme="majorHAnsi"/>
          <w:sz w:val="20"/>
        </w:rPr>
      </w:pPr>
      <w:r w:rsidRPr="005D7F87">
        <w:rPr>
          <w:rFonts w:asciiTheme="majorHAnsi" w:hAnsiTheme="majorHAnsi" w:cstheme="majorHAnsi"/>
          <w:sz w:val="20"/>
        </w:rPr>
        <w:t>o ile nie będą wykonywane przez daną osobę w ramach prowadzonej przez nią działalności gospodarczej, były wykonywane przez osoby zatrudnione (przez Wykonawcę lub podwykonawcę) na podstawie umowy o pracę. Wykonawca zobowiązany jest zawrzeć w każdej umowie o podwykonawstwo stosowne zapisy zobowiązujące podwykonawców do zatrudnienia na umowę o pracę wszystkich osób wykonujących wskazane wyżej czynności.</w:t>
      </w:r>
    </w:p>
    <w:p w14:paraId="68B2AAE2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5CAC9DC1" w14:textId="4E69920B" w:rsidR="00C95A23" w:rsidRDefault="00D25FAC" w:rsidP="00C95A23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D25FAC">
        <w:rPr>
          <w:rFonts w:asciiTheme="majorHAnsi" w:hAnsiTheme="majorHAnsi" w:cstheme="majorHAnsi"/>
          <w:sz w:val="20"/>
          <w:szCs w:val="20"/>
        </w:rPr>
        <w:t>45247000-0 Roboty w zakresie budowy tam, kanałów, kanałów irygacyjnych i akweduktów</w:t>
      </w:r>
    </w:p>
    <w:p w14:paraId="652CE6A1" w14:textId="77777777" w:rsidR="00C95A23" w:rsidRPr="00CE6D51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CE6D51">
        <w:rPr>
          <w:rFonts w:asciiTheme="majorHAnsi" w:hAnsiTheme="majorHAnsi" w:cstheme="majorHAnsi"/>
          <w:sz w:val="20"/>
          <w:szCs w:val="20"/>
        </w:rPr>
        <w:t>Zamawiający nie dopuszcza możliwoś</w:t>
      </w:r>
      <w:r>
        <w:rPr>
          <w:rFonts w:asciiTheme="majorHAnsi" w:hAnsiTheme="majorHAnsi" w:cstheme="majorHAnsi"/>
          <w:sz w:val="20"/>
          <w:szCs w:val="20"/>
        </w:rPr>
        <w:t>ci</w:t>
      </w:r>
      <w:r w:rsidRPr="00CE6D51">
        <w:rPr>
          <w:rFonts w:asciiTheme="majorHAnsi" w:hAnsiTheme="majorHAnsi" w:cstheme="majorHAnsi"/>
          <w:sz w:val="20"/>
          <w:szCs w:val="20"/>
        </w:rPr>
        <w:t xml:space="preserve"> składania ofert częściowych. </w:t>
      </w:r>
    </w:p>
    <w:p w14:paraId="06988F73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25C3E3E7" w14:textId="77777777" w:rsidR="00C95A23" w:rsidRPr="005B3D6A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5B3D6A">
        <w:rPr>
          <w:rFonts w:asciiTheme="majorHAnsi" w:hAnsiTheme="majorHAnsi" w:cstheme="majorHAnsi"/>
          <w:sz w:val="20"/>
          <w:szCs w:val="20"/>
        </w:rPr>
        <w:t xml:space="preserve">Zamawiający nie przewiduje możliwości udzielenie zamówień, o których mowa w art. 67 ust. 1 pkt 6 ustawy Prawo zamówień publicznych. </w:t>
      </w:r>
    </w:p>
    <w:p w14:paraId="670AE670" w14:textId="77777777" w:rsidR="00C95A23" w:rsidRPr="008B38A3" w:rsidRDefault="00C95A23" w:rsidP="001F0C1A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0F56FC10" w14:textId="23D738BD" w:rsidR="00F41C3A" w:rsidRPr="00E30D8E" w:rsidRDefault="00F41C3A" w:rsidP="00F41C3A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Od dnia zawarcia umowy do dnia </w:t>
      </w:r>
      <w:r w:rsidRPr="00E30D8E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30 </w:t>
      </w:r>
      <w:r w:rsidR="00B93B5B">
        <w:rPr>
          <w:rFonts w:asciiTheme="majorHAnsi" w:hAnsiTheme="majorHAnsi" w:cstheme="majorHAnsi"/>
          <w:bCs/>
          <w:color w:val="000000"/>
          <w:sz w:val="20"/>
          <w:szCs w:val="20"/>
        </w:rPr>
        <w:t>października</w:t>
      </w: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</w:t>
      </w:r>
      <w:r w:rsidRPr="00E30D8E">
        <w:rPr>
          <w:rFonts w:asciiTheme="majorHAnsi" w:hAnsiTheme="majorHAnsi" w:cstheme="majorHAnsi"/>
          <w:bCs/>
          <w:color w:val="000000"/>
          <w:sz w:val="20"/>
          <w:szCs w:val="20"/>
        </w:rPr>
        <w:t>2020 r.</w:t>
      </w:r>
    </w:p>
    <w:p w14:paraId="6448A935" w14:textId="77777777" w:rsidR="009279F1" w:rsidRPr="00E65B89" w:rsidRDefault="009279F1" w:rsidP="00562ABE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06AB34D4" w:rsidR="00E37F70" w:rsidRPr="00E65B89" w:rsidRDefault="00E37F70" w:rsidP="001F0C1A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5319A114" w14:textId="67F4DA46" w:rsidR="007A4E10" w:rsidRPr="00E65B89" w:rsidRDefault="007A4E10" w:rsidP="00986359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E65B89">
        <w:rPr>
          <w:rFonts w:asciiTheme="majorHAnsi" w:hAnsiTheme="majorHAnsi" w:cstheme="majorHAnsi"/>
          <w:sz w:val="20"/>
          <w:szCs w:val="20"/>
        </w:rPr>
        <w:t xml:space="preserve"> na podstawie art. 24 ust. 1</w:t>
      </w:r>
      <w:r w:rsidR="00351F99" w:rsidRPr="00351F99">
        <w:t xml:space="preserve"> </w:t>
      </w:r>
      <w:r w:rsidR="00351F99" w:rsidRPr="00351F99">
        <w:rPr>
          <w:rFonts w:asciiTheme="majorHAnsi" w:hAnsiTheme="majorHAnsi" w:cstheme="majorHAnsi"/>
          <w:sz w:val="20"/>
          <w:szCs w:val="20"/>
        </w:rPr>
        <w:t xml:space="preserve">oraz 24 ust. 5 pkt 1 </w:t>
      </w:r>
      <w:r w:rsidR="00986359" w:rsidRPr="00E65B89">
        <w:rPr>
          <w:rFonts w:asciiTheme="majorHAnsi" w:hAnsiTheme="majorHAnsi" w:cstheme="majorHAnsi"/>
          <w:sz w:val="20"/>
          <w:szCs w:val="20"/>
        </w:rPr>
        <w:t>ustawy PZP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56194FD2" w14:textId="070C4C69" w:rsidR="00ED7156" w:rsidRPr="00E65B89" w:rsidRDefault="007A4E10" w:rsidP="002E374F">
      <w:pPr>
        <w:numPr>
          <w:ilvl w:val="0"/>
          <w:numId w:val="8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spełniają warunki udziału w postę</w:t>
      </w:r>
      <w:r w:rsidR="00ED7156" w:rsidRPr="00E65B89">
        <w:rPr>
          <w:rFonts w:asciiTheme="majorHAnsi" w:hAnsiTheme="majorHAnsi" w:cstheme="majorHAnsi"/>
          <w:sz w:val="20"/>
          <w:szCs w:val="20"/>
        </w:rPr>
        <w:t xml:space="preserve">powaniu dotyczące </w:t>
      </w:r>
      <w:r w:rsidRPr="00E65B89">
        <w:rPr>
          <w:rFonts w:asciiTheme="majorHAnsi" w:hAnsiTheme="majorHAnsi" w:cstheme="majorHAnsi"/>
          <w:sz w:val="20"/>
          <w:szCs w:val="20"/>
        </w:rPr>
        <w:t xml:space="preserve">zdolności technicznej lub zawodowej. </w:t>
      </w:r>
    </w:p>
    <w:p w14:paraId="20DE5479" w14:textId="00F36889" w:rsidR="00034CF3" w:rsidRDefault="00034CF3" w:rsidP="00034CF3">
      <w:pPr>
        <w:pStyle w:val="Akapitzlist"/>
        <w:keepNext/>
        <w:numPr>
          <w:ilvl w:val="2"/>
          <w:numId w:val="8"/>
        </w:numPr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29902454"/>
      <w:r w:rsidRPr="00C00BA4">
        <w:rPr>
          <w:rFonts w:asciiTheme="majorHAnsi" w:hAnsiTheme="majorHAnsi" w:cstheme="majorHAnsi"/>
          <w:sz w:val="20"/>
          <w:szCs w:val="20"/>
        </w:rPr>
        <w:t xml:space="preserve">w okresie ostatnich pięciu lat przed upływem terminu składania ofert, a jeżeli okres prowadzenia działalności jest krótszy – w tym okresie, </w:t>
      </w:r>
      <w:r w:rsidRPr="00EE6A98">
        <w:rPr>
          <w:rFonts w:asciiTheme="majorHAnsi" w:hAnsiTheme="majorHAnsi" w:cstheme="majorHAnsi"/>
          <w:sz w:val="20"/>
          <w:szCs w:val="20"/>
        </w:rPr>
        <w:t>wykonali należycie, zgodnie z zasadami sztuki budowlanej i prawidłowo ukończyli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9098E">
        <w:rPr>
          <w:rFonts w:asciiTheme="majorHAnsi" w:hAnsiTheme="majorHAnsi" w:cstheme="majorHAnsi"/>
          <w:sz w:val="20"/>
          <w:szCs w:val="20"/>
        </w:rPr>
        <w:t>jedn</w:t>
      </w:r>
      <w:r>
        <w:rPr>
          <w:rFonts w:asciiTheme="majorHAnsi" w:hAnsiTheme="majorHAnsi" w:cstheme="majorHAnsi"/>
          <w:sz w:val="20"/>
          <w:szCs w:val="20"/>
        </w:rPr>
        <w:t>ą</w:t>
      </w:r>
      <w:r w:rsidRPr="00F9098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robotę budowlaną </w:t>
      </w:r>
      <w:r w:rsidRPr="00F9098E">
        <w:rPr>
          <w:rFonts w:asciiTheme="majorHAnsi" w:hAnsiTheme="majorHAnsi" w:cstheme="majorHAnsi"/>
          <w:sz w:val="20"/>
          <w:szCs w:val="20"/>
        </w:rPr>
        <w:t xml:space="preserve">o wartości </w:t>
      </w:r>
      <w:r w:rsidRPr="00CF2B7C">
        <w:rPr>
          <w:rFonts w:asciiTheme="majorHAnsi" w:hAnsiTheme="majorHAnsi" w:cstheme="majorHAnsi"/>
          <w:sz w:val="20"/>
          <w:szCs w:val="20"/>
        </w:rPr>
        <w:t xml:space="preserve">minimum </w:t>
      </w:r>
      <w:r>
        <w:rPr>
          <w:rFonts w:asciiTheme="majorHAnsi" w:hAnsiTheme="majorHAnsi" w:cstheme="majorHAnsi"/>
          <w:sz w:val="20"/>
          <w:szCs w:val="20"/>
        </w:rPr>
        <w:t>1</w:t>
      </w:r>
      <w:r w:rsidRPr="00CF2B7C">
        <w:rPr>
          <w:rFonts w:asciiTheme="majorHAnsi" w:hAnsiTheme="majorHAnsi" w:cstheme="majorHAnsi"/>
          <w:sz w:val="20"/>
          <w:szCs w:val="20"/>
        </w:rPr>
        <w:t xml:space="preserve">00.000,00 zł brutto polegającą na budowie lub przebudowie </w:t>
      </w:r>
      <w:r w:rsidR="001A7171">
        <w:rPr>
          <w:rFonts w:asciiTheme="majorHAnsi" w:hAnsiTheme="majorHAnsi" w:cstheme="majorHAnsi"/>
          <w:sz w:val="20"/>
          <w:szCs w:val="20"/>
        </w:rPr>
        <w:t>przepustu lub mostu</w:t>
      </w:r>
      <w:r w:rsidRPr="00F9098E">
        <w:rPr>
          <w:rFonts w:asciiTheme="majorHAnsi" w:hAnsiTheme="majorHAnsi" w:cstheme="majorHAnsi"/>
          <w:sz w:val="20"/>
          <w:szCs w:val="20"/>
        </w:rPr>
        <w:t>.</w:t>
      </w:r>
    </w:p>
    <w:bookmarkEnd w:id="0"/>
    <w:p w14:paraId="0C5B6A4C" w14:textId="77777777" w:rsidR="00034CF3" w:rsidRPr="00691316" w:rsidRDefault="00034CF3" w:rsidP="00034CF3">
      <w:pPr>
        <w:pStyle w:val="Akapitzlist"/>
        <w:keepNext/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B1899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2A098BE6" w14:textId="77777777" w:rsidR="00034CF3" w:rsidRDefault="00034CF3" w:rsidP="00034CF3">
      <w:pPr>
        <w:pStyle w:val="Akapitzlist"/>
        <w:keepNext/>
        <w:numPr>
          <w:ilvl w:val="2"/>
          <w:numId w:val="8"/>
        </w:numPr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4B48C96D" w14:textId="77777777" w:rsidR="00034CF3" w:rsidRDefault="00034CF3" w:rsidP="001F0C1A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1560"/>
        <w:jc w:val="both"/>
        <w:rPr>
          <w:rFonts w:asciiTheme="majorHAnsi" w:eastAsia="Calibri Light" w:hAnsiTheme="majorHAnsi" w:cstheme="majorHAnsi"/>
          <w:sz w:val="20"/>
          <w:szCs w:val="20"/>
        </w:rPr>
      </w:pPr>
      <w:r w:rsidRPr="00F53662">
        <w:rPr>
          <w:rFonts w:asciiTheme="majorHAnsi" w:eastAsia="Calibri Light" w:hAnsiTheme="majorHAnsi" w:cstheme="majorHAnsi"/>
          <w:sz w:val="20"/>
          <w:szCs w:val="20"/>
        </w:rPr>
        <w:t>Kierownik budowy posiadający uprawnienia budowlane do kierowania robotami budowlanymi w specjalności inżynieryjnej drogowej,</w:t>
      </w:r>
    </w:p>
    <w:p w14:paraId="18A14558" w14:textId="77777777" w:rsidR="00034CF3" w:rsidRPr="009D5F21" w:rsidRDefault="00034CF3" w:rsidP="00034CF3">
      <w:pPr>
        <w:pStyle w:val="Akapitzlist"/>
        <w:autoSpaceDE w:val="0"/>
        <w:autoSpaceDN w:val="0"/>
        <w:adjustRightInd w:val="0"/>
        <w:ind w:left="1560"/>
        <w:jc w:val="both"/>
        <w:rPr>
          <w:rFonts w:asciiTheme="majorHAnsi" w:eastAsia="Calibri Light" w:hAnsiTheme="majorHAnsi" w:cstheme="majorHAnsi"/>
          <w:sz w:val="20"/>
          <w:szCs w:val="20"/>
        </w:rPr>
      </w:pPr>
    </w:p>
    <w:p w14:paraId="7DEE12B6" w14:textId="77777777" w:rsidR="00034CF3" w:rsidRDefault="00034CF3" w:rsidP="00034CF3">
      <w:pPr>
        <w:tabs>
          <w:tab w:val="left" w:pos="1134"/>
        </w:tabs>
        <w:spacing w:after="4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Pr="00EE6A98">
        <w:rPr>
          <w:rFonts w:asciiTheme="majorHAnsi" w:hAnsiTheme="majorHAnsi" w:cstheme="majorHAnsi"/>
          <w:sz w:val="20"/>
          <w:szCs w:val="20"/>
        </w:rPr>
        <w:t>rzez uprawnienia budowlane, o których mowa powyżej Zamawiający rozumie uprawnienia,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których mowa w ustawie z dnia 7 lipca 1994 r. Prawo budowlane (tj. Dz. U. z 2019 r., poz. 1186 ze zm.) oraz w Rozporządzeniu Ministra Infrastruktury i Rozwoju z dnia 29 kwietnia 2019 r.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sprawie przygotowania zawodowego do wykonywania samodzielnych funkcji technicznych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zasadach uznawania kwalifikacji zawodowych nabytych w państwach członkowskich Unii Europejskiej (Dz. U. z 2018 r., poz. 2272) lub zamierzający świadczyć usługi transgraniczne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E6A98">
        <w:rPr>
          <w:rFonts w:asciiTheme="majorHAnsi" w:hAnsiTheme="majorHAnsi" w:cstheme="majorHAnsi"/>
          <w:sz w:val="20"/>
          <w:szCs w:val="20"/>
        </w:rPr>
        <w:t>rozumieniu przepisów tej ustawy oraz art. 20a ustawy z dnia 15 grudnia 2000 r. o samorządach zawodowych architektów, inżynierów budownictwa  (Dz. U. z 2019 r., poz. 1117).</w:t>
      </w:r>
    </w:p>
    <w:p w14:paraId="320789DB" w14:textId="142EB32E" w:rsidR="009B2BE1" w:rsidRPr="00E65B89" w:rsidRDefault="00523A86" w:rsidP="001F0C1A">
      <w:pPr>
        <w:pStyle w:val="Akapitzlist"/>
        <w:numPr>
          <w:ilvl w:val="0"/>
          <w:numId w:val="44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2) niniejszej SIWZ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1F0C1A">
      <w:pPr>
        <w:pStyle w:val="Akapitzlist"/>
        <w:numPr>
          <w:ilvl w:val="0"/>
          <w:numId w:val="44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1F0C1A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1F0C1A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1F0C1A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1"/>
    <w:p w14:paraId="42411AA9" w14:textId="0D65E0F2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2F1343A9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(Dz.U. z 201</w:t>
      </w:r>
      <w:r w:rsidR="00F244F4">
        <w:rPr>
          <w:rFonts w:asciiTheme="majorHAnsi" w:hAnsiTheme="majorHAnsi" w:cstheme="majorHAnsi"/>
          <w:sz w:val="20"/>
          <w:szCs w:val="20"/>
        </w:rPr>
        <w:t>8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F244F4">
        <w:rPr>
          <w:rFonts w:asciiTheme="majorHAnsi" w:hAnsiTheme="majorHAnsi" w:cstheme="majorHAnsi"/>
          <w:sz w:val="20"/>
          <w:szCs w:val="20"/>
        </w:rPr>
        <w:t>2188 ze zm.</w:t>
      </w:r>
      <w:r w:rsidRPr="00421019">
        <w:rPr>
          <w:rFonts w:asciiTheme="majorHAnsi" w:hAnsiTheme="majorHAnsi" w:cstheme="majorHAnsi"/>
          <w:sz w:val="20"/>
          <w:szCs w:val="20"/>
        </w:rPr>
        <w:t xml:space="preserve">), osobiście, za pośrednictwem posłańca lub przy użyciu środków komunikacji elektronicznej w rozumieniu </w:t>
      </w:r>
      <w:r w:rsidRPr="00421019">
        <w:rPr>
          <w:rFonts w:asciiTheme="majorHAnsi" w:hAnsiTheme="majorHAnsi" w:cstheme="majorHAnsi"/>
          <w:sz w:val="20"/>
          <w:szCs w:val="20"/>
        </w:rPr>
        <w:lastRenderedPageBreak/>
        <w:t>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E6143D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1F0C1A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1F0C1A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19B31222" w14:textId="2D3788AD" w:rsidR="002B58D9" w:rsidRPr="002B58D9" w:rsidRDefault="002B58D9" w:rsidP="002B58D9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w wysokości </w:t>
      </w:r>
      <w:r w:rsidR="00FE0536">
        <w:rPr>
          <w:rFonts w:asciiTheme="majorHAnsi" w:hAnsiTheme="majorHAnsi" w:cstheme="majorHAnsi"/>
          <w:bCs/>
          <w:sz w:val="20"/>
          <w:szCs w:val="20"/>
        </w:rPr>
        <w:t>5 0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00,00 PLN (słownie: </w:t>
      </w:r>
      <w:r w:rsidR="00FE0536">
        <w:rPr>
          <w:rFonts w:asciiTheme="majorHAnsi" w:hAnsiTheme="majorHAnsi" w:cstheme="majorHAnsi"/>
          <w:bCs/>
          <w:sz w:val="20"/>
          <w:szCs w:val="20"/>
        </w:rPr>
        <w:t>pięć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 tysi</w:t>
      </w:r>
      <w:r w:rsidR="00FE0536">
        <w:rPr>
          <w:rFonts w:asciiTheme="majorHAnsi" w:hAnsiTheme="majorHAnsi" w:cstheme="majorHAnsi"/>
          <w:bCs/>
          <w:sz w:val="20"/>
          <w:szCs w:val="20"/>
        </w:rPr>
        <w:t>ę</w:t>
      </w:r>
      <w:r w:rsidRPr="002B58D9">
        <w:rPr>
          <w:rFonts w:asciiTheme="majorHAnsi" w:hAnsiTheme="majorHAnsi" w:cstheme="majorHAnsi"/>
          <w:bCs/>
          <w:sz w:val="20"/>
          <w:szCs w:val="20"/>
        </w:rPr>
        <w:t>c</w:t>
      </w:r>
      <w:r w:rsidR="00FE0536">
        <w:rPr>
          <w:rFonts w:asciiTheme="majorHAnsi" w:hAnsiTheme="majorHAnsi" w:cstheme="majorHAnsi"/>
          <w:bCs/>
          <w:sz w:val="20"/>
          <w:szCs w:val="20"/>
        </w:rPr>
        <w:t>y</w:t>
      </w:r>
      <w:r w:rsidRPr="002B58D9">
        <w:rPr>
          <w:rFonts w:asciiTheme="majorHAnsi" w:hAnsiTheme="majorHAnsi" w:cstheme="majorHAnsi"/>
          <w:bCs/>
          <w:sz w:val="20"/>
          <w:szCs w:val="20"/>
        </w:rPr>
        <w:t xml:space="preserve"> złotych) przed upływem terminu składania ofert.</w:t>
      </w:r>
    </w:p>
    <w:p w14:paraId="05CB5DC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2.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71CE6EC9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Uwaga! Wadium wnoszone w poręczeniach, gwarancjach bankowych, gwarancjach ubezpieczeniowych lub poręczeniach udzielanych przez podmioty, o których mowa w art. 45 ust. 6 pkt 5) ustawy, należy zdeponować przed upływem terminu składania ofert 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w siedzibie Zamawiającego przy ul. Stefana Złotnickiego 12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,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</w:t>
      </w:r>
      <w:r w:rsidR="00FE0536">
        <w:rPr>
          <w:rFonts w:asciiTheme="majorHAnsi" w:eastAsia="Arial Unicode MS" w:hAnsiTheme="majorHAnsi" w:cstheme="majorHAnsi"/>
          <w:sz w:val="20"/>
          <w:szCs w:val="20"/>
        </w:rPr>
        <w:t xml:space="preserve"> terminu składania ofert 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i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>zaadresować zgodnie z opisem przedstawionym w rozdziale X SIWZ. Godziny pracy Urzędu Miasta: w</w:t>
      </w:r>
      <w:r w:rsidR="0092487D">
        <w:rPr>
          <w:rFonts w:asciiTheme="majorHAnsi" w:eastAsia="Arial Unicode MS" w:hAnsiTheme="majorHAnsi" w:cstheme="majorHAnsi"/>
          <w:sz w:val="20"/>
          <w:szCs w:val="20"/>
        </w:rPr>
        <w:t> 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poniedziałki od godz. 7:30 do godz. 17:00 oraz od wtorku do piątku od godz. 7:30 do godz. 15:30. 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 xml:space="preserve">UWAGA! </w:t>
      </w:r>
      <w:r w:rsidR="0092487D">
        <w:rPr>
          <w:rFonts w:asciiTheme="majorHAnsi" w:eastAsia="Arial Unicode MS" w:hAnsiTheme="majorHAnsi" w:cstheme="majorHAnsi"/>
          <w:b/>
          <w:bCs/>
          <w:sz w:val="20"/>
          <w:szCs w:val="20"/>
        </w:rPr>
        <w:t>N</w:t>
      </w:r>
      <w:r w:rsidR="0092487D"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ie należy wrzucać do wystawionej urny.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1F0C1A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1F0C1A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1155BF84" w14:textId="77777777" w:rsidTr="00F14282">
        <w:tc>
          <w:tcPr>
            <w:tcW w:w="9577" w:type="dxa"/>
          </w:tcPr>
          <w:p w14:paraId="234B0D9B" w14:textId="18FA9779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D25FAC" w:rsidRPr="00D25FAC">
              <w:rPr>
                <w:rFonts w:asciiTheme="majorHAnsi" w:hAnsiTheme="majorHAnsi" w:cstheme="majorHAnsi"/>
                <w:b/>
                <w:sz w:val="20"/>
                <w:szCs w:val="20"/>
              </w:rPr>
              <w:t>Przebudowa przepustu na rowie melioracyjnym w ciągu ulicy Stawowej</w:t>
            </w: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29721A" w:rsidRPr="00E65B89" w14:paraId="31F2659C" w14:textId="77777777" w:rsidTr="00F14282">
        <w:tc>
          <w:tcPr>
            <w:tcW w:w="9577" w:type="dxa"/>
          </w:tcPr>
          <w:p w14:paraId="21A0D404" w14:textId="6AAB1BB4" w:rsidR="0029721A" w:rsidRPr="00E65B89" w:rsidRDefault="0029721A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D25FAC" w:rsidRPr="00D25FAC">
              <w:rPr>
                <w:rFonts w:asciiTheme="majorHAnsi" w:hAnsiTheme="majorHAnsi" w:cstheme="majorHAnsi"/>
                <w:b/>
                <w:sz w:val="20"/>
                <w:szCs w:val="20"/>
              </w:rPr>
              <w:t>IM.271.32.2020.JP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C73099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2018 r. poz. 419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 i poprawek z napisem na kopercie „WYCOFANIE”.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7464E6B4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przy wejściu do budynku nr 2 Urzędu Miasta (od strony kościoła) poprzez przekazanie jej dyżurującemu pracownikowi Urzędu Miasta Zduńska Wola, do dnia </w:t>
      </w:r>
      <w:r w:rsidR="00E6143D" w:rsidRPr="00E6143D">
        <w:rPr>
          <w:rFonts w:asciiTheme="majorHAnsi" w:eastAsia="Arial Unicode MS" w:hAnsiTheme="majorHAnsi" w:cstheme="majorHAnsi"/>
          <w:b/>
          <w:bCs/>
          <w:sz w:val="20"/>
          <w:szCs w:val="20"/>
        </w:rPr>
        <w:t>20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.0</w:t>
      </w:r>
      <w:r w:rsidR="00FE0536">
        <w:rPr>
          <w:rFonts w:asciiTheme="majorHAnsi" w:eastAsia="Arial Unicode MS" w:hAnsiTheme="majorHAnsi" w:cstheme="majorHAnsi"/>
          <w:b/>
          <w:bCs/>
          <w:sz w:val="20"/>
          <w:szCs w:val="20"/>
        </w:rPr>
        <w:t>7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UWAGA! Oferty nie należy wrzucać do wystawionej urny, pozostawienie oferty w urnie spowoduje, że oferta nie będzie brana pod uwagę w niniejszym postępowaniu.</w:t>
      </w:r>
    </w:p>
    <w:p w14:paraId="06B410E6" w14:textId="61BD15BE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Decydujące znaczenie dla oceny zachowania terminu składania ofert ma data i godzina wpływu oferty do Zamawiającego, </w:t>
      </w:r>
      <w:r w:rsidR="00E57C81">
        <w:rPr>
          <w:rFonts w:asciiTheme="majorHAnsi" w:eastAsia="Arial Unicode MS" w:hAnsiTheme="majorHAnsi" w:cstheme="majorHAnsi"/>
          <w:sz w:val="20"/>
          <w:szCs w:val="20"/>
        </w:rPr>
        <w:br/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2BE29A0F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E6143D" w:rsidRPr="00E6143D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0E693E" w:rsidRPr="00E65B89">
        <w:rPr>
          <w:rFonts w:asciiTheme="majorHAnsi" w:hAnsiTheme="majorHAnsi" w:cstheme="majorHAnsi"/>
          <w:b/>
          <w:sz w:val="20"/>
          <w:szCs w:val="20"/>
        </w:rPr>
        <w:t>.</w:t>
      </w:r>
      <w:r w:rsidR="00582FA4">
        <w:rPr>
          <w:rFonts w:asciiTheme="majorHAnsi" w:hAnsiTheme="majorHAnsi" w:cstheme="majorHAnsi"/>
          <w:b/>
          <w:sz w:val="20"/>
          <w:szCs w:val="20"/>
        </w:rPr>
        <w:t>0</w:t>
      </w:r>
      <w:r w:rsidR="001F0C1A">
        <w:rPr>
          <w:rFonts w:asciiTheme="majorHAnsi" w:hAnsiTheme="majorHAnsi" w:cstheme="majorHAnsi"/>
          <w:b/>
          <w:sz w:val="20"/>
          <w:szCs w:val="20"/>
        </w:rPr>
        <w:t>7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.20</w:t>
      </w:r>
      <w:r w:rsidR="001F659B">
        <w:rPr>
          <w:rFonts w:asciiTheme="majorHAnsi" w:hAnsiTheme="majorHAnsi" w:cstheme="majorHAnsi"/>
          <w:b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245302">
        <w:rPr>
          <w:rFonts w:asciiTheme="majorHAnsi" w:hAnsiTheme="majorHAnsi" w:cstheme="majorHAnsi"/>
          <w:b/>
          <w:sz w:val="20"/>
          <w:szCs w:val="20"/>
        </w:rPr>
        <w:t>15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77777777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1F0C1A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77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4961"/>
        <w:gridCol w:w="1843"/>
      </w:tblGrid>
      <w:tr w:rsidR="00B15222" w:rsidRPr="00E65B89" w14:paraId="1FCD97E3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B49569" w14:textId="77777777" w:rsidR="00B15222" w:rsidRPr="00E65B89" w:rsidRDefault="00B15222" w:rsidP="00DC1DF2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D4C645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Nazwa kryterium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C718D6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0A66E" w14:textId="77777777" w:rsidR="00B15222" w:rsidRPr="00E65B89" w:rsidRDefault="00B15222" w:rsidP="00DC1DF2">
            <w:pPr>
              <w:pStyle w:val="NormalnyWeb"/>
              <w:snapToGrid w:val="0"/>
              <w:spacing w:before="79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  <w:b/>
                <w:bCs/>
              </w:rPr>
              <w:t>Waga kryterium</w:t>
            </w:r>
          </w:p>
        </w:tc>
      </w:tr>
      <w:tr w:rsidR="00B15222" w:rsidRPr="00E65B89" w14:paraId="081E7974" w14:textId="77777777" w:rsidTr="00540795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D48B5B5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96FBD37" w14:textId="4D9AF14C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Cena oferty brutto</w:t>
            </w:r>
            <w:r w:rsidR="003567DE" w:rsidRPr="00E65B89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3567DE" w:rsidRPr="00E65B89">
              <w:rPr>
                <w:rFonts w:asciiTheme="majorHAnsi" w:hAnsiTheme="majorHAnsi" w:cstheme="majorHAnsi"/>
              </w:rPr>
              <w:t>Pc</w:t>
            </w:r>
            <w:proofErr w:type="spellEnd"/>
            <w:r w:rsidR="00800462" w:rsidRPr="00E65B89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96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4E58C064" w14:textId="77777777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65B89">
              <w:rPr>
                <w:rFonts w:asciiTheme="majorHAnsi" w:hAnsiTheme="majorHAnsi" w:cstheme="majorHAnsi"/>
                <w:sz w:val="16"/>
                <w:szCs w:val="16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F9C3EB4" w14:textId="25D5826A" w:rsidR="00B15222" w:rsidRPr="00E65B89" w:rsidRDefault="00B15222" w:rsidP="007F1796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E65B89">
              <w:rPr>
                <w:rFonts w:asciiTheme="majorHAnsi" w:hAnsiTheme="majorHAnsi" w:cstheme="majorHAnsi"/>
              </w:rPr>
              <w:t>60,00%</w:t>
            </w:r>
          </w:p>
        </w:tc>
      </w:tr>
      <w:tr w:rsidR="00AC6A2E" w:rsidRPr="00E65B89" w14:paraId="3BCB716D" w14:textId="77777777" w:rsidTr="00AC6A2E">
        <w:trPr>
          <w:cantSplit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4260680" w14:textId="74981C58" w:rsidR="00AC6A2E" w:rsidRPr="00E65B89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1D40830" w14:textId="392C521B" w:rsidR="00AC6A2E" w:rsidRPr="00AC6A2E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</w:rPr>
            </w:pPr>
            <w:r w:rsidRPr="00AC6A2E">
              <w:rPr>
                <w:rFonts w:asciiTheme="majorHAnsi" w:hAnsiTheme="majorHAnsi" w:cstheme="majorHAnsi"/>
              </w:rPr>
              <w:t>Termin gwarancji - (TG)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E4AC8F2" w14:textId="406FF6ED" w:rsidR="00AC6A2E" w:rsidRPr="00AC6A2E" w:rsidRDefault="00AC6A2E" w:rsidP="00AC6A2E">
            <w:pPr>
              <w:pStyle w:val="NormalnyWeb"/>
              <w:snapToGrid w:val="0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 xml:space="preserve">Termin gwarancji na wykonane roboty i usługi oraz zastosowane materiały. Termin ten musi być określony w przedziale od 60 miesięcy do </w:t>
            </w:r>
            <w:r w:rsidR="001A7171">
              <w:rPr>
                <w:rFonts w:asciiTheme="majorHAnsi" w:hAnsiTheme="majorHAnsi" w:cstheme="majorHAnsi"/>
                <w:sz w:val="16"/>
                <w:szCs w:val="16"/>
              </w:rPr>
              <w:t>72</w:t>
            </w: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 xml:space="preserve"> miesięcy. W przypadku zaoferowania terminu krótszego niż 60 miesięcy oferta zostanie odrzucona, natomiast w przypadku zaoferowania terminu dłuższego niż </w:t>
            </w:r>
            <w:r w:rsidR="001A7171">
              <w:rPr>
                <w:rFonts w:asciiTheme="majorHAnsi" w:hAnsiTheme="majorHAnsi" w:cstheme="majorHAnsi"/>
                <w:sz w:val="16"/>
                <w:szCs w:val="16"/>
              </w:rPr>
              <w:t>72</w:t>
            </w: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 xml:space="preserve"> miesiące oferta zostanie oceniona tak samo jak by Wykonawca zaoferował </w:t>
            </w:r>
            <w:r w:rsidR="001A7171">
              <w:rPr>
                <w:rFonts w:asciiTheme="majorHAnsi" w:hAnsiTheme="majorHAnsi" w:cstheme="majorHAnsi"/>
                <w:sz w:val="16"/>
                <w:szCs w:val="16"/>
              </w:rPr>
              <w:t>72</w:t>
            </w: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67DA4665" w14:textId="43831345" w:rsidR="00AC6A2E" w:rsidRPr="00AC6A2E" w:rsidRDefault="00AC6A2E" w:rsidP="00AC6A2E">
            <w:pPr>
              <w:pStyle w:val="NormalnyWeb"/>
              <w:snapToGrid w:val="0"/>
              <w:spacing w:before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C6A2E">
              <w:rPr>
                <w:rFonts w:asciiTheme="majorHAnsi" w:hAnsiTheme="majorHAnsi" w:cstheme="majorHAnsi"/>
                <w:sz w:val="16"/>
                <w:szCs w:val="16"/>
              </w:rPr>
              <w:t>40,00%</w:t>
            </w:r>
          </w:p>
        </w:tc>
      </w:tr>
    </w:tbl>
    <w:p w14:paraId="4103444F" w14:textId="77777777" w:rsidR="008A7C93" w:rsidRPr="00E65B89" w:rsidRDefault="008A7C93" w:rsidP="008A7C93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77F000A1" w14:textId="77777777" w:rsidR="00B15222" w:rsidRPr="00E65B89" w:rsidRDefault="00B15222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P  –  liczba punktów oferty badanej,</w:t>
      </w:r>
    </w:p>
    <w:p w14:paraId="472D9CB5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9E7F4F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Default="009E7F4F" w:rsidP="001F0C1A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9E7F4F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14:paraId="0A1E533B" w14:textId="77777777" w:rsidR="001D4D5D" w:rsidRDefault="001D4D5D" w:rsidP="001D4D5D">
      <w:pPr>
        <w:suppressAutoHyphens/>
        <w:ind w:left="3541" w:firstLine="707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86BC55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Liczba punktów oferty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>
        <w:rPr>
          <w:rFonts w:asciiTheme="majorHAnsi" w:hAnsiTheme="majorHAnsi" w:cs="Arial"/>
          <w:sz w:val="20"/>
          <w:szCs w:val="20"/>
        </w:rPr>
        <w:t>)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Cn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Cb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5B51EF">
        <w:rPr>
          <w:rFonts w:asciiTheme="majorHAnsi" w:hAnsiTheme="majorHAnsi" w:cs="Arial"/>
          <w:sz w:val="20"/>
          <w:szCs w:val="20"/>
        </w:rPr>
        <w:t>Cmax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 xml:space="preserve">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>
        <w:rPr>
          <w:rFonts w:asciiTheme="majorHAnsi" w:hAnsiTheme="majorHAnsi" w:cs="Arial"/>
          <w:sz w:val="20"/>
          <w:szCs w:val="20"/>
        </w:rPr>
        <w:t>Pc</w:t>
      </w:r>
      <w:proofErr w:type="spellEnd"/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0E1C8871" w:rsidR="00B35090" w:rsidRPr="00B35090" w:rsidRDefault="006A54F5" w:rsidP="001F0C1A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>Kryterium termin gwarancji (TG)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B35090" w:rsidRPr="00B35090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</w:t>
      </w:r>
      <w:r>
        <w:rPr>
          <w:rFonts w:asciiTheme="majorHAnsi" w:hAnsiTheme="majorHAnsi" w:cstheme="majorHAnsi"/>
          <w:sz w:val="20"/>
          <w:szCs w:val="20"/>
        </w:rPr>
        <w:br/>
      </w:r>
      <w:r w:rsidR="00B35090" w:rsidRPr="00B35090">
        <w:rPr>
          <w:rFonts w:asciiTheme="majorHAnsi" w:hAnsiTheme="majorHAnsi" w:cstheme="majorHAnsi"/>
          <w:sz w:val="20"/>
          <w:szCs w:val="20"/>
        </w:rPr>
        <w:t xml:space="preserve">w ofercie: </w:t>
      </w:r>
    </w:p>
    <w:p w14:paraId="2C34522D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6E414CE8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5A3041D6" w14:textId="77777777" w:rsidR="006A54F5" w:rsidRPr="006A54F5" w:rsidRDefault="006A54F5" w:rsidP="006A54F5">
      <w:pPr>
        <w:suppressAutoHyphens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085A9BC4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Liczba punktów oferty (TG) =</w:t>
      </w:r>
      <w:r w:rsidRPr="006A54F5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17166CB2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ab/>
      </w:r>
      <w:r w:rsidRPr="006A54F5">
        <w:rPr>
          <w:rFonts w:asciiTheme="majorHAnsi" w:hAnsiTheme="majorHAnsi" w:cs="Arial"/>
          <w:sz w:val="20"/>
          <w:szCs w:val="20"/>
        </w:rPr>
        <w:tab/>
      </w:r>
      <w:r w:rsidRPr="006A54F5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6A54F5">
        <w:rPr>
          <w:rFonts w:asciiTheme="majorHAnsi" w:hAnsiTheme="majorHAnsi" w:cs="Arial"/>
          <w:sz w:val="20"/>
          <w:szCs w:val="20"/>
        </w:rPr>
        <w:tab/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5254AEDF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15C5826C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gdzie:</w:t>
      </w:r>
    </w:p>
    <w:p w14:paraId="552921CE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6A54F5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2602BAFF" w14:textId="77777777" w:rsidR="006A54F5" w:rsidRPr="006A54F5" w:rsidRDefault="006A54F5" w:rsidP="006A54F5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6A54F5">
        <w:rPr>
          <w:rFonts w:asciiTheme="majorHAnsi" w:hAnsiTheme="majorHAnsi" w:cs="Arial"/>
          <w:sz w:val="20"/>
          <w:szCs w:val="20"/>
        </w:rPr>
        <w:t>TG</w:t>
      </w:r>
      <w:r w:rsidRPr="006A54F5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6A54F5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C2021F1" w14:textId="77777777" w:rsidR="006A54F5" w:rsidRPr="00E65B89" w:rsidRDefault="006A54F5" w:rsidP="00D556C6">
      <w:pPr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E65B89" w:rsidRDefault="00B15222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1F0C1A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90884BF" w:rsidR="005C2337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56D98175" w14:textId="714838E5" w:rsidR="00FD3164" w:rsidRDefault="00FD3164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ABBAFC2" w14:textId="77777777" w:rsidR="00FD3164" w:rsidRPr="00E65B89" w:rsidRDefault="00FD3164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2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2"/>
    </w:p>
    <w:p w14:paraId="49C85DA3" w14:textId="3771C15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1F0C1A">
        <w:rPr>
          <w:rFonts w:asciiTheme="majorHAnsi" w:hAnsiTheme="majorHAnsi" w:cstheme="majorHAnsi"/>
          <w:b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1F0C1A">
      <w:pPr>
        <w:numPr>
          <w:ilvl w:val="0"/>
          <w:numId w:val="41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1F0C1A">
      <w:pPr>
        <w:numPr>
          <w:ilvl w:val="0"/>
          <w:numId w:val="43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1F0C1A">
      <w:pPr>
        <w:numPr>
          <w:ilvl w:val="0"/>
          <w:numId w:val="43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1F0C1A">
      <w:pPr>
        <w:numPr>
          <w:ilvl w:val="0"/>
          <w:numId w:val="43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1F0C1A">
      <w:pPr>
        <w:numPr>
          <w:ilvl w:val="0"/>
          <w:numId w:val="42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1F0C1A">
      <w:pPr>
        <w:numPr>
          <w:ilvl w:val="1"/>
          <w:numId w:val="40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30BB3D84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lastRenderedPageBreak/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1BE18C28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7572C5FE" w:rsidR="006629DC" w:rsidRPr="00A429A3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A429A3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A429A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A429A3">
        <w:rPr>
          <w:rFonts w:asciiTheme="majorHAnsi" w:hAnsiTheme="majorHAnsi" w:cstheme="majorHAnsi"/>
          <w:sz w:val="20"/>
          <w:szCs w:val="20"/>
        </w:rPr>
        <w:t xml:space="preserve">RODO w celu związanym z postępowaniem o udzielenie zamówienia publicznego pn.: 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„</w:t>
      </w:r>
      <w:r w:rsidR="00D25FAC" w:rsidRPr="00D25FAC">
        <w:rPr>
          <w:rFonts w:asciiTheme="majorHAnsi" w:hAnsiTheme="majorHAnsi" w:cstheme="majorHAnsi"/>
          <w:b/>
          <w:i/>
          <w:sz w:val="20"/>
          <w:szCs w:val="20"/>
        </w:rPr>
        <w:t>Przebudowa przepustu na rowie melioracyjnym w ciągu ulicy Stawowej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”</w:t>
      </w:r>
      <w:r w:rsidR="00A429A3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>nr</w:t>
      </w:r>
      <w:r w:rsidR="0092487D">
        <w:rPr>
          <w:rFonts w:asciiTheme="majorHAnsi" w:hAnsiTheme="majorHAnsi" w:cstheme="majorHAnsi"/>
          <w:b/>
          <w:i/>
          <w:sz w:val="20"/>
          <w:szCs w:val="20"/>
        </w:rPr>
        <w:t> </w:t>
      </w:r>
      <w:r w:rsidR="0018757C" w:rsidRPr="00A429A3">
        <w:rPr>
          <w:rFonts w:asciiTheme="majorHAnsi" w:hAnsiTheme="majorHAnsi" w:cstheme="majorHAnsi"/>
          <w:b/>
          <w:i/>
          <w:sz w:val="20"/>
          <w:szCs w:val="20"/>
        </w:rPr>
        <w:t xml:space="preserve">sprawy: </w:t>
      </w:r>
      <w:r w:rsidR="00D25FAC" w:rsidRPr="00D25FAC">
        <w:rPr>
          <w:rFonts w:asciiTheme="majorHAnsi" w:hAnsiTheme="majorHAnsi" w:cstheme="majorHAnsi"/>
          <w:b/>
          <w:i/>
          <w:sz w:val="20"/>
          <w:szCs w:val="20"/>
        </w:rPr>
        <w:t xml:space="preserve">IM.271.32.2020.JP </w:t>
      </w:r>
      <w:r w:rsidRPr="00A429A3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A429A3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1F0C1A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1F0C1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1F0C1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1F0C1A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1F0C1A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65B89">
        <w:rPr>
          <w:rFonts w:asciiTheme="majorHAnsi" w:hAnsiTheme="majorHAnsi" w:cstheme="majorHAnsi"/>
          <w:i/>
          <w:sz w:val="20"/>
          <w:szCs w:val="20"/>
        </w:rPr>
        <w:t>Pzp</w:t>
      </w:r>
      <w:proofErr w:type="spellEnd"/>
      <w:r w:rsidRPr="00E65B89">
        <w:rPr>
          <w:rFonts w:asciiTheme="majorHAnsi" w:hAnsiTheme="majorHAnsi" w:cstheme="majorHAnsi"/>
          <w:i/>
          <w:sz w:val="20"/>
          <w:szCs w:val="20"/>
        </w:rPr>
        <w:t xml:space="preserve">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7A0978E7" w:rsidR="00B42A67" w:rsidRPr="0018757C" w:rsidRDefault="00552FBA" w:rsidP="001D4A9C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sectPr w:rsidR="00B42A67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2B58D9" w:rsidRDefault="002B58D9">
      <w:r>
        <w:separator/>
      </w:r>
    </w:p>
  </w:endnote>
  <w:endnote w:type="continuationSeparator" w:id="0">
    <w:p w14:paraId="179DE15F" w14:textId="77777777" w:rsidR="002B58D9" w:rsidRDefault="002B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2B58D9" w:rsidRPr="004F6956" w:rsidRDefault="002B58D9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2B58D9" w:rsidRDefault="002B58D9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2B58D9" w:rsidRPr="00F1652C" w:rsidRDefault="002B58D9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2B58D9" w:rsidRDefault="002B58D9">
      <w:r>
        <w:separator/>
      </w:r>
    </w:p>
  </w:footnote>
  <w:footnote w:type="continuationSeparator" w:id="0">
    <w:p w14:paraId="06775DC1" w14:textId="77777777" w:rsidR="002B58D9" w:rsidRDefault="002B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2B58D9" w:rsidRPr="008474FD" w:rsidRDefault="002B58D9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2B58D9" w:rsidRDefault="002B58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A06F3C"/>
    <w:multiLevelType w:val="hybridMultilevel"/>
    <w:tmpl w:val="561AB4EA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5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EF758F"/>
    <w:multiLevelType w:val="hybridMultilevel"/>
    <w:tmpl w:val="86DAC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5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BD1389"/>
    <w:multiLevelType w:val="hybridMultilevel"/>
    <w:tmpl w:val="5BE6E4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8" w15:restartNumberingAfterBreak="0">
    <w:nsid w:val="3E66003B"/>
    <w:multiLevelType w:val="hybridMultilevel"/>
    <w:tmpl w:val="1AAA5AD0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E342F4"/>
    <w:multiLevelType w:val="hybridMultilevel"/>
    <w:tmpl w:val="9CB681C6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A194206"/>
    <w:multiLevelType w:val="hybridMultilevel"/>
    <w:tmpl w:val="373A216C"/>
    <w:lvl w:ilvl="0" w:tplc="C0FACC46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4D62C9"/>
    <w:multiLevelType w:val="hybridMultilevel"/>
    <w:tmpl w:val="24124DF6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B767D14"/>
    <w:multiLevelType w:val="hybridMultilevel"/>
    <w:tmpl w:val="83D4DF6E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CF797B"/>
    <w:multiLevelType w:val="hybridMultilevel"/>
    <w:tmpl w:val="51EA059C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7E55FF"/>
    <w:multiLevelType w:val="hybridMultilevel"/>
    <w:tmpl w:val="AAA4DCBE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7816040"/>
    <w:multiLevelType w:val="hybridMultilevel"/>
    <w:tmpl w:val="83700812"/>
    <w:lvl w:ilvl="0" w:tplc="04150017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8761238"/>
    <w:multiLevelType w:val="hybridMultilevel"/>
    <w:tmpl w:val="4050A58E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7"/>
  </w:num>
  <w:num w:numId="7">
    <w:abstractNumId w:val="18"/>
  </w:num>
  <w:num w:numId="8">
    <w:abstractNumId w:val="21"/>
  </w:num>
  <w:num w:numId="9">
    <w:abstractNumId w:val="20"/>
  </w:num>
  <w:num w:numId="10">
    <w:abstractNumId w:val="25"/>
  </w:num>
  <w:num w:numId="11">
    <w:abstractNumId w:val="28"/>
  </w:num>
  <w:num w:numId="12">
    <w:abstractNumId w:val="49"/>
  </w:num>
  <w:num w:numId="13">
    <w:abstractNumId w:val="29"/>
  </w:num>
  <w:num w:numId="14">
    <w:abstractNumId w:val="36"/>
  </w:num>
  <w:num w:numId="15">
    <w:abstractNumId w:val="19"/>
  </w:num>
  <w:num w:numId="16">
    <w:abstractNumId w:val="34"/>
  </w:num>
  <w:num w:numId="17">
    <w:abstractNumId w:val="56"/>
  </w:num>
  <w:num w:numId="18">
    <w:abstractNumId w:val="47"/>
  </w:num>
  <w:num w:numId="19">
    <w:abstractNumId w:val="41"/>
  </w:num>
  <w:num w:numId="20">
    <w:abstractNumId w:val="45"/>
  </w:num>
  <w:num w:numId="21">
    <w:abstractNumId w:val="54"/>
  </w:num>
  <w:num w:numId="22">
    <w:abstractNumId w:val="30"/>
  </w:num>
  <w:num w:numId="23">
    <w:abstractNumId w:val="43"/>
  </w:num>
  <w:num w:numId="24">
    <w:abstractNumId w:val="52"/>
    <w:lvlOverride w:ilvl="0">
      <w:startOverride w:val="1"/>
    </w:lvlOverride>
  </w:num>
  <w:num w:numId="25">
    <w:abstractNumId w:val="39"/>
    <w:lvlOverride w:ilvl="0">
      <w:startOverride w:val="1"/>
    </w:lvlOverride>
  </w:num>
  <w:num w:numId="26">
    <w:abstractNumId w:val="26"/>
  </w:num>
  <w:num w:numId="27">
    <w:abstractNumId w:val="8"/>
  </w:num>
  <w:num w:numId="28">
    <w:abstractNumId w:val="53"/>
  </w:num>
  <w:num w:numId="29">
    <w:abstractNumId w:val="33"/>
  </w:num>
  <w:num w:numId="30">
    <w:abstractNumId w:val="24"/>
  </w:num>
  <w:num w:numId="31">
    <w:abstractNumId w:val="58"/>
  </w:num>
  <w:num w:numId="32">
    <w:abstractNumId w:val="35"/>
  </w:num>
  <w:num w:numId="33">
    <w:abstractNumId w:val="27"/>
  </w:num>
  <w:num w:numId="34">
    <w:abstractNumId w:val="63"/>
  </w:num>
  <w:num w:numId="35">
    <w:abstractNumId w:val="64"/>
  </w:num>
  <w:num w:numId="36">
    <w:abstractNumId w:val="44"/>
  </w:num>
  <w:num w:numId="37">
    <w:abstractNumId w:val="65"/>
  </w:num>
  <w:num w:numId="38">
    <w:abstractNumId w:val="37"/>
  </w:num>
  <w:num w:numId="39">
    <w:abstractNumId w:val="62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</w:num>
  <w:num w:numId="45">
    <w:abstractNumId w:val="51"/>
  </w:num>
  <w:num w:numId="46">
    <w:abstractNumId w:val="60"/>
  </w:num>
  <w:num w:numId="47">
    <w:abstractNumId w:val="42"/>
  </w:num>
  <w:num w:numId="48">
    <w:abstractNumId w:val="48"/>
  </w:num>
  <w:num w:numId="49">
    <w:abstractNumId w:val="15"/>
  </w:num>
  <w:num w:numId="50">
    <w:abstractNumId w:val="22"/>
  </w:num>
  <w:num w:numId="51">
    <w:abstractNumId w:val="16"/>
  </w:num>
  <w:num w:numId="52">
    <w:abstractNumId w:val="38"/>
  </w:num>
  <w:num w:numId="53">
    <w:abstractNumId w:val="23"/>
  </w:num>
  <w:num w:numId="54">
    <w:abstractNumId w:val="50"/>
  </w:num>
  <w:num w:numId="55">
    <w:abstractNumId w:val="55"/>
  </w:num>
  <w:num w:numId="56">
    <w:abstractNumId w:val="61"/>
  </w:num>
  <w:num w:numId="57">
    <w:abstractNumId w:val="3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23BF9"/>
    <w:rsid w:val="00030DA7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C8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57C0"/>
    <w:rsid w:val="00181B59"/>
    <w:rsid w:val="0018757C"/>
    <w:rsid w:val="00196740"/>
    <w:rsid w:val="00197571"/>
    <w:rsid w:val="001A1E1D"/>
    <w:rsid w:val="001A35B7"/>
    <w:rsid w:val="001A3C81"/>
    <w:rsid w:val="001A5259"/>
    <w:rsid w:val="001A7171"/>
    <w:rsid w:val="001B0585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0C1A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D49"/>
    <w:rsid w:val="0024116D"/>
    <w:rsid w:val="002428E3"/>
    <w:rsid w:val="00245302"/>
    <w:rsid w:val="00245B23"/>
    <w:rsid w:val="002501C2"/>
    <w:rsid w:val="00250E0E"/>
    <w:rsid w:val="0025286B"/>
    <w:rsid w:val="00257991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26BF"/>
    <w:rsid w:val="00314690"/>
    <w:rsid w:val="003211C9"/>
    <w:rsid w:val="00322343"/>
    <w:rsid w:val="00336A12"/>
    <w:rsid w:val="00340B53"/>
    <w:rsid w:val="00346CE0"/>
    <w:rsid w:val="003519DA"/>
    <w:rsid w:val="00351CF9"/>
    <w:rsid w:val="00351F99"/>
    <w:rsid w:val="003567DE"/>
    <w:rsid w:val="003574C9"/>
    <w:rsid w:val="00360101"/>
    <w:rsid w:val="00366E3A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5884"/>
    <w:rsid w:val="003D5D2A"/>
    <w:rsid w:val="003F020E"/>
    <w:rsid w:val="003F098C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6384B"/>
    <w:rsid w:val="00470228"/>
    <w:rsid w:val="00471887"/>
    <w:rsid w:val="00472588"/>
    <w:rsid w:val="00474FB4"/>
    <w:rsid w:val="00475864"/>
    <w:rsid w:val="0048013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45FB"/>
    <w:rsid w:val="004D4A6B"/>
    <w:rsid w:val="004D4B24"/>
    <w:rsid w:val="004E171B"/>
    <w:rsid w:val="004E4568"/>
    <w:rsid w:val="004E69DB"/>
    <w:rsid w:val="004F0028"/>
    <w:rsid w:val="004F0254"/>
    <w:rsid w:val="004F15B1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60BF"/>
    <w:rsid w:val="0053710B"/>
    <w:rsid w:val="00540795"/>
    <w:rsid w:val="00546FCE"/>
    <w:rsid w:val="00552FBA"/>
    <w:rsid w:val="00555765"/>
    <w:rsid w:val="0055601B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578D"/>
    <w:rsid w:val="006063FA"/>
    <w:rsid w:val="00610EDF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3B03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75EB"/>
    <w:rsid w:val="008579A2"/>
    <w:rsid w:val="00857FDF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730F"/>
    <w:rsid w:val="008C121D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142C0"/>
    <w:rsid w:val="00B15222"/>
    <w:rsid w:val="00B169EE"/>
    <w:rsid w:val="00B2217B"/>
    <w:rsid w:val="00B22A90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3B5B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83386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A24"/>
    <w:rsid w:val="00CA708C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6460"/>
    <w:rsid w:val="00D02477"/>
    <w:rsid w:val="00D03EBA"/>
    <w:rsid w:val="00D047A9"/>
    <w:rsid w:val="00D05F80"/>
    <w:rsid w:val="00D07418"/>
    <w:rsid w:val="00D07EA2"/>
    <w:rsid w:val="00D10748"/>
    <w:rsid w:val="00D15701"/>
    <w:rsid w:val="00D21189"/>
    <w:rsid w:val="00D21D0E"/>
    <w:rsid w:val="00D226C8"/>
    <w:rsid w:val="00D25FAC"/>
    <w:rsid w:val="00D27C7A"/>
    <w:rsid w:val="00D30CF7"/>
    <w:rsid w:val="00D329E6"/>
    <w:rsid w:val="00D34A10"/>
    <w:rsid w:val="00D46741"/>
    <w:rsid w:val="00D46C89"/>
    <w:rsid w:val="00D50BE8"/>
    <w:rsid w:val="00D53AE8"/>
    <w:rsid w:val="00D54CB9"/>
    <w:rsid w:val="00D556C6"/>
    <w:rsid w:val="00D5626A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67DB"/>
    <w:rsid w:val="00DC1DF2"/>
    <w:rsid w:val="00DC200C"/>
    <w:rsid w:val="00DC2015"/>
    <w:rsid w:val="00DC41EC"/>
    <w:rsid w:val="00DC4291"/>
    <w:rsid w:val="00DC7C06"/>
    <w:rsid w:val="00DD063A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7F70"/>
    <w:rsid w:val="00E4108C"/>
    <w:rsid w:val="00E428BC"/>
    <w:rsid w:val="00E5197A"/>
    <w:rsid w:val="00E52C3B"/>
    <w:rsid w:val="00E5671A"/>
    <w:rsid w:val="00E57C81"/>
    <w:rsid w:val="00E60106"/>
    <w:rsid w:val="00E6143D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EF1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30409"/>
    <w:rsid w:val="00F31B3F"/>
    <w:rsid w:val="00F34B92"/>
    <w:rsid w:val="00F40DE0"/>
    <w:rsid w:val="00F41C3A"/>
    <w:rsid w:val="00F47A4F"/>
    <w:rsid w:val="00F50696"/>
    <w:rsid w:val="00F56212"/>
    <w:rsid w:val="00F563A2"/>
    <w:rsid w:val="00F60339"/>
    <w:rsid w:val="00F62534"/>
    <w:rsid w:val="00F625A7"/>
    <w:rsid w:val="00F627A7"/>
    <w:rsid w:val="00F64C80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D1658"/>
    <w:rsid w:val="00FD1755"/>
    <w:rsid w:val="00FD3164"/>
    <w:rsid w:val="00FD54F8"/>
    <w:rsid w:val="00FD6EE0"/>
    <w:rsid w:val="00FD79F8"/>
    <w:rsid w:val="00FE0536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4193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12</Pages>
  <Words>6676</Words>
  <Characters>40062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24</cp:revision>
  <cp:lastPrinted>2020-05-27T12:50:00Z</cp:lastPrinted>
  <dcterms:created xsi:type="dcterms:W3CDTF">2020-05-27T05:47:00Z</dcterms:created>
  <dcterms:modified xsi:type="dcterms:W3CDTF">2020-07-02T06:14:00Z</dcterms:modified>
</cp:coreProperties>
</file>