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871F3A6" w14:textId="2CD253FE" w:rsidR="00492B9B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AE11D1" w:rsidRPr="00AE11D1">
        <w:rPr>
          <w:rFonts w:ascii="Arial" w:hAnsi="Arial" w:cs="Arial"/>
          <w:sz w:val="20"/>
          <w:szCs w:val="20"/>
        </w:rPr>
        <w:t>„Budowa integracyjnego placu zabaw – etap I” nr sprawy: IM.271.29.2020.KM</w:t>
      </w:r>
    </w:p>
    <w:p w14:paraId="503E2B92" w14:textId="28949DAE" w:rsidR="00E95066" w:rsidRPr="00B42A67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697254">
      <w:footerReference w:type="default" r:id="rId7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823F0F"/>
    <w:rsid w:val="009C59C3"/>
    <w:rsid w:val="00AE11D1"/>
    <w:rsid w:val="00D428DA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8</cp:revision>
  <dcterms:created xsi:type="dcterms:W3CDTF">2020-03-30T09:50:00Z</dcterms:created>
  <dcterms:modified xsi:type="dcterms:W3CDTF">2020-07-01T06:46:00Z</dcterms:modified>
</cp:coreProperties>
</file>