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56"/>
        <w:gridCol w:w="4253"/>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F41C3A" w:rsidRPr="00E65B89" w14:paraId="168DE879" w14:textId="77777777" w:rsidTr="005E3059">
        <w:tc>
          <w:tcPr>
            <w:tcW w:w="9577" w:type="dxa"/>
            <w:gridSpan w:val="2"/>
          </w:tcPr>
          <w:tbl>
            <w:tblPr>
              <w:tblW w:w="9577" w:type="dxa"/>
              <w:tblLook w:val="04A0" w:firstRow="1" w:lastRow="0" w:firstColumn="1" w:lastColumn="0" w:noHBand="0" w:noVBand="1"/>
            </w:tblPr>
            <w:tblGrid>
              <w:gridCol w:w="9793"/>
            </w:tblGrid>
            <w:tr w:rsidR="00CF5C2B" w:rsidRPr="00BD0A25" w14:paraId="211921EC" w14:textId="77777777" w:rsidTr="002B58D9">
              <w:tc>
                <w:tcPr>
                  <w:tcW w:w="9577" w:type="dxa"/>
                </w:tcPr>
                <w:tbl>
                  <w:tblPr>
                    <w:tblW w:w="9577" w:type="dxa"/>
                    <w:tblLook w:val="04A0" w:firstRow="1" w:lastRow="0" w:firstColumn="1" w:lastColumn="0" w:noHBand="0" w:noVBand="1"/>
                  </w:tblPr>
                  <w:tblGrid>
                    <w:gridCol w:w="9577"/>
                  </w:tblGrid>
                  <w:tr w:rsidR="00CF5C2B" w:rsidRPr="00CC6D28" w14:paraId="124D32EB" w14:textId="77777777" w:rsidTr="00025883">
                    <w:tc>
                      <w:tcPr>
                        <w:tcW w:w="9577" w:type="dxa"/>
                      </w:tcPr>
                      <w:p w14:paraId="3241685B" w14:textId="4413671E" w:rsidR="00CF5C2B" w:rsidRPr="00CC6D28" w:rsidRDefault="00CF5C2B" w:rsidP="00CF5C2B">
                        <w:pPr>
                          <w:spacing w:after="40" w:line="276" w:lineRule="auto"/>
                          <w:jc w:val="center"/>
                          <w:rPr>
                            <w:rFonts w:asciiTheme="majorHAnsi" w:hAnsiTheme="majorHAnsi" w:cstheme="majorHAnsi"/>
                            <w:b/>
                            <w:sz w:val="20"/>
                            <w:szCs w:val="20"/>
                          </w:rPr>
                        </w:pPr>
                        <w:r w:rsidRPr="00CC6D28">
                          <w:rPr>
                            <w:rFonts w:asciiTheme="majorHAnsi" w:hAnsiTheme="majorHAnsi" w:cstheme="majorHAnsi"/>
                            <w:b/>
                            <w:sz w:val="20"/>
                            <w:szCs w:val="20"/>
                          </w:rPr>
                          <w:t>„</w:t>
                        </w:r>
                        <w:r w:rsidR="00B01BA4" w:rsidRPr="00B01BA4">
                          <w:rPr>
                            <w:rFonts w:asciiTheme="majorHAnsi" w:hAnsiTheme="majorHAnsi" w:cstheme="majorHAnsi"/>
                            <w:b/>
                            <w:sz w:val="20"/>
                            <w:szCs w:val="20"/>
                          </w:rPr>
                          <w:t>Zagospodarowanie terenu wokół zbiornika Kępina</w:t>
                        </w:r>
                        <w:r w:rsidRPr="00CC6D28">
                          <w:rPr>
                            <w:rFonts w:asciiTheme="majorHAnsi" w:hAnsiTheme="majorHAnsi" w:cstheme="majorHAnsi"/>
                            <w:b/>
                            <w:sz w:val="20"/>
                            <w:szCs w:val="20"/>
                          </w:rPr>
                          <w:t>”</w:t>
                        </w:r>
                      </w:p>
                    </w:tc>
                  </w:tr>
                  <w:tr w:rsidR="00CF5C2B" w:rsidRPr="00CC6D28" w14:paraId="43F42DB3" w14:textId="77777777" w:rsidTr="00025883">
                    <w:tc>
                      <w:tcPr>
                        <w:tcW w:w="9577" w:type="dxa"/>
                      </w:tcPr>
                      <w:p w14:paraId="36A71C44" w14:textId="770199EC" w:rsidR="00CF5C2B" w:rsidRPr="00CC6D28" w:rsidRDefault="00CF5C2B" w:rsidP="00CF5C2B">
                        <w:pPr>
                          <w:spacing w:after="40" w:line="276" w:lineRule="auto"/>
                          <w:jc w:val="center"/>
                          <w:rPr>
                            <w:rFonts w:asciiTheme="majorHAnsi" w:hAnsiTheme="majorHAnsi" w:cstheme="majorHAnsi"/>
                            <w:b/>
                            <w:sz w:val="20"/>
                            <w:szCs w:val="20"/>
                          </w:rPr>
                        </w:pPr>
                        <w:r w:rsidRPr="00CC6D28">
                          <w:rPr>
                            <w:rFonts w:asciiTheme="majorHAnsi" w:hAnsiTheme="majorHAnsi" w:cstheme="majorHAnsi"/>
                            <w:b/>
                            <w:sz w:val="20"/>
                            <w:szCs w:val="20"/>
                          </w:rPr>
                          <w:t xml:space="preserve">nr sprawy: </w:t>
                        </w:r>
                        <w:r w:rsidR="00B01BA4" w:rsidRPr="00B01BA4">
                          <w:rPr>
                            <w:rFonts w:asciiTheme="majorHAnsi" w:hAnsiTheme="majorHAnsi" w:cstheme="majorHAnsi"/>
                            <w:b/>
                            <w:sz w:val="20"/>
                            <w:szCs w:val="20"/>
                          </w:rPr>
                          <w:t>IM.271.37.2020.WNK</w:t>
                        </w:r>
                      </w:p>
                    </w:tc>
                  </w:tr>
                </w:tbl>
                <w:p w14:paraId="79D2A537" w14:textId="23E20E0A" w:rsidR="00CF5C2B" w:rsidRPr="00BD0A25" w:rsidRDefault="00CF5C2B" w:rsidP="00CF5C2B">
                  <w:pPr>
                    <w:spacing w:after="40"/>
                    <w:jc w:val="center"/>
                    <w:rPr>
                      <w:rFonts w:asciiTheme="majorHAnsi" w:hAnsiTheme="majorHAnsi" w:cstheme="majorHAnsi"/>
                      <w:b/>
                      <w:sz w:val="20"/>
                      <w:szCs w:val="20"/>
                    </w:rPr>
                  </w:pPr>
                </w:p>
              </w:tc>
            </w:tr>
            <w:tr w:rsidR="00CF5C2B" w:rsidRPr="00BD0A25" w14:paraId="4AD7D4DF" w14:textId="77777777" w:rsidTr="002B58D9">
              <w:tc>
                <w:tcPr>
                  <w:tcW w:w="9577" w:type="dxa"/>
                </w:tcPr>
                <w:tbl>
                  <w:tblPr>
                    <w:tblW w:w="9577" w:type="dxa"/>
                    <w:tblLook w:val="04A0" w:firstRow="1" w:lastRow="0" w:firstColumn="1" w:lastColumn="0" w:noHBand="0" w:noVBand="1"/>
                  </w:tblPr>
                  <w:tblGrid>
                    <w:gridCol w:w="9577"/>
                  </w:tblGrid>
                  <w:tr w:rsidR="00CF5C2B" w:rsidRPr="00CC6D28" w14:paraId="67F2EC63" w14:textId="77777777" w:rsidTr="00025883">
                    <w:tc>
                      <w:tcPr>
                        <w:tcW w:w="9577" w:type="dxa"/>
                      </w:tcPr>
                      <w:p w14:paraId="11182FEA" w14:textId="19A3B999" w:rsidR="00CF5C2B" w:rsidRPr="00CC6D28" w:rsidRDefault="00CF5C2B" w:rsidP="00CF5C2B">
                        <w:pPr>
                          <w:spacing w:after="40" w:line="276" w:lineRule="auto"/>
                          <w:jc w:val="center"/>
                          <w:rPr>
                            <w:rFonts w:asciiTheme="majorHAnsi" w:hAnsiTheme="majorHAnsi" w:cstheme="majorHAnsi"/>
                            <w:b/>
                            <w:sz w:val="20"/>
                            <w:szCs w:val="20"/>
                          </w:rPr>
                        </w:pPr>
                      </w:p>
                    </w:tc>
                  </w:tr>
                  <w:tr w:rsidR="00CF5C2B" w:rsidRPr="00CC6D28" w14:paraId="1CD7B0BB" w14:textId="77777777" w:rsidTr="00025883">
                    <w:tc>
                      <w:tcPr>
                        <w:tcW w:w="9577" w:type="dxa"/>
                      </w:tcPr>
                      <w:p w14:paraId="6D637DA2" w14:textId="3913D6E2" w:rsidR="00CF5C2B" w:rsidRPr="00CC6D28" w:rsidRDefault="00CF5C2B" w:rsidP="00CF5C2B">
                        <w:pPr>
                          <w:spacing w:after="40" w:line="276" w:lineRule="auto"/>
                          <w:jc w:val="center"/>
                          <w:rPr>
                            <w:rFonts w:asciiTheme="majorHAnsi" w:hAnsiTheme="majorHAnsi" w:cstheme="majorHAnsi"/>
                            <w:b/>
                            <w:sz w:val="20"/>
                            <w:szCs w:val="20"/>
                          </w:rPr>
                        </w:pPr>
                      </w:p>
                    </w:tc>
                  </w:tr>
                </w:tbl>
                <w:p w14:paraId="5C3726C9" w14:textId="098A136F" w:rsidR="00CF5C2B" w:rsidRPr="00BD0A25" w:rsidRDefault="00CF5C2B" w:rsidP="00CF5C2B">
                  <w:pPr>
                    <w:spacing w:after="40"/>
                    <w:jc w:val="center"/>
                    <w:rPr>
                      <w:rFonts w:asciiTheme="majorHAnsi" w:hAnsiTheme="majorHAnsi" w:cstheme="majorHAnsi"/>
                      <w:b/>
                      <w:sz w:val="20"/>
                      <w:szCs w:val="20"/>
                    </w:rPr>
                  </w:pPr>
                </w:p>
              </w:tc>
            </w:tr>
          </w:tbl>
          <w:p w14:paraId="4B0193BF" w14:textId="4FFB615A" w:rsidR="00F41C3A" w:rsidRPr="00E65B89" w:rsidRDefault="00F41C3A" w:rsidP="00F41C3A">
            <w:pPr>
              <w:spacing w:after="40"/>
              <w:jc w:val="center"/>
              <w:rPr>
                <w:rFonts w:asciiTheme="majorHAnsi" w:hAnsiTheme="majorHAnsi" w:cstheme="majorHAnsi"/>
                <w:b/>
                <w:sz w:val="20"/>
                <w:szCs w:val="20"/>
              </w:rPr>
            </w:pPr>
          </w:p>
        </w:tc>
      </w:tr>
      <w:tr w:rsidR="00F41C3A" w:rsidRPr="00E65B89" w14:paraId="194BEC63" w14:textId="77777777" w:rsidTr="005E3059">
        <w:tc>
          <w:tcPr>
            <w:tcW w:w="9577" w:type="dxa"/>
            <w:gridSpan w:val="2"/>
          </w:tcPr>
          <w:tbl>
            <w:tblPr>
              <w:tblW w:w="9577" w:type="dxa"/>
              <w:tblLook w:val="04A0" w:firstRow="1" w:lastRow="0" w:firstColumn="1" w:lastColumn="0" w:noHBand="0" w:noVBand="1"/>
            </w:tblPr>
            <w:tblGrid>
              <w:gridCol w:w="9577"/>
            </w:tblGrid>
            <w:tr w:rsidR="00F41C3A" w:rsidRPr="00BD0A25" w14:paraId="7FD293D0" w14:textId="77777777" w:rsidTr="002B58D9">
              <w:tc>
                <w:tcPr>
                  <w:tcW w:w="9577" w:type="dxa"/>
                </w:tcPr>
                <w:p w14:paraId="1EA3752A" w14:textId="54F2505B" w:rsidR="00F41C3A" w:rsidRPr="00BD0A25" w:rsidRDefault="00F41C3A" w:rsidP="00F41C3A">
                  <w:pPr>
                    <w:spacing w:after="40"/>
                    <w:jc w:val="center"/>
                    <w:rPr>
                      <w:rFonts w:asciiTheme="majorHAnsi" w:hAnsiTheme="majorHAnsi" w:cstheme="majorHAnsi"/>
                      <w:b/>
                      <w:sz w:val="20"/>
                      <w:szCs w:val="20"/>
                    </w:rPr>
                  </w:pPr>
                </w:p>
              </w:tc>
            </w:tr>
            <w:tr w:rsidR="00F41C3A" w:rsidRPr="00BD0A25" w14:paraId="05637E56" w14:textId="77777777" w:rsidTr="002B58D9">
              <w:tc>
                <w:tcPr>
                  <w:tcW w:w="9577" w:type="dxa"/>
                </w:tcPr>
                <w:p w14:paraId="4C7D7E4F" w14:textId="6F0185DA" w:rsidR="00F41C3A" w:rsidRPr="00BD0A25" w:rsidRDefault="00F41C3A" w:rsidP="00F41C3A">
                  <w:pPr>
                    <w:spacing w:after="40"/>
                    <w:jc w:val="center"/>
                    <w:rPr>
                      <w:rFonts w:asciiTheme="majorHAnsi" w:hAnsiTheme="majorHAnsi" w:cstheme="majorHAnsi"/>
                      <w:b/>
                      <w:sz w:val="20"/>
                      <w:szCs w:val="20"/>
                    </w:rPr>
                  </w:pPr>
                </w:p>
              </w:tc>
            </w:tr>
          </w:tbl>
          <w:p w14:paraId="5D1C1484" w14:textId="550E3F69" w:rsidR="00F41C3A" w:rsidRPr="00E65B89" w:rsidRDefault="00F41C3A" w:rsidP="00F41C3A">
            <w:pPr>
              <w:spacing w:after="40"/>
              <w:jc w:val="center"/>
              <w:rPr>
                <w:rFonts w:asciiTheme="majorHAnsi" w:hAnsiTheme="majorHAnsi" w:cstheme="majorHAnsi"/>
                <w:b/>
                <w:sz w:val="20"/>
                <w:szCs w:val="20"/>
              </w:rPr>
            </w:pP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C1100">
            <w:pPr>
              <w:pStyle w:val="Tekstpodstawowy"/>
              <w:numPr>
                <w:ilvl w:val="0"/>
                <w:numId w:val="19"/>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C1100">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C1100">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7C99C998" w:rsidR="00203E22" w:rsidRPr="00E65B89" w:rsidRDefault="00002BA4" w:rsidP="00DC1100">
            <w:pPr>
              <w:pStyle w:val="Tekstpodstawowy"/>
              <w:numPr>
                <w:ilvl w:val="0"/>
                <w:numId w:val="19"/>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051C712F" w:rsidR="00203E22" w:rsidRPr="00E65B89" w:rsidRDefault="006C7601"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r w:rsidR="00DC1100">
              <w:rPr>
                <w:rFonts w:asciiTheme="majorHAnsi" w:hAnsiTheme="majorHAnsi" w:cstheme="majorHAnsi"/>
                <w:b w:val="0"/>
                <w:sz w:val="20"/>
              </w:rPr>
              <w:t>A i 4B</w:t>
            </w:r>
          </w:p>
        </w:tc>
      </w:tr>
      <w:tr w:rsidR="00ED2DDD" w:rsidRPr="00E65B89" w14:paraId="275C5FDA" w14:textId="77777777" w:rsidTr="005E3059">
        <w:tc>
          <w:tcPr>
            <w:tcW w:w="5778" w:type="dxa"/>
          </w:tcPr>
          <w:p w14:paraId="27953702" w14:textId="06C79429" w:rsidR="000A612E" w:rsidRPr="00562ABE" w:rsidRDefault="00C95A23" w:rsidP="00DC1100">
            <w:pPr>
              <w:pStyle w:val="Tekstpodstawowy"/>
              <w:numPr>
                <w:ilvl w:val="0"/>
                <w:numId w:val="19"/>
              </w:numPr>
              <w:spacing w:after="40"/>
              <w:ind w:left="284" w:hanging="284"/>
              <w:rPr>
                <w:rFonts w:asciiTheme="majorHAnsi" w:hAnsiTheme="majorHAnsi" w:cstheme="majorHAnsi"/>
                <w:b w:val="0"/>
                <w:sz w:val="20"/>
              </w:rPr>
            </w:pPr>
            <w:r w:rsidRPr="00C95A23">
              <w:rPr>
                <w:rFonts w:asciiTheme="majorHAnsi" w:hAnsiTheme="majorHAnsi" w:cstheme="majorHAnsi"/>
                <w:b w:val="0"/>
                <w:sz w:val="20"/>
              </w:rPr>
              <w:t>Dokumentacja techniczna</w:t>
            </w:r>
          </w:p>
        </w:tc>
        <w:tc>
          <w:tcPr>
            <w:tcW w:w="3799" w:type="dxa"/>
            <w:vAlign w:val="center"/>
          </w:tcPr>
          <w:p w14:paraId="226C1488" w14:textId="3FE07D8B" w:rsidR="000A612E" w:rsidRPr="00562ABE" w:rsidRDefault="00ED2DDD" w:rsidP="00DC1100">
            <w:pPr>
              <w:pStyle w:val="Tekstpodstawowy"/>
              <w:numPr>
                <w:ilvl w:val="0"/>
                <w:numId w:val="20"/>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w:t>
            </w:r>
            <w:r w:rsidR="006C7601" w:rsidRPr="00E65B89">
              <w:rPr>
                <w:rFonts w:asciiTheme="majorHAnsi" w:hAnsiTheme="majorHAnsi" w:cstheme="majorHAnsi"/>
                <w:b w:val="0"/>
                <w:sz w:val="20"/>
              </w:rPr>
              <w:t>ałącznik nr 5</w:t>
            </w:r>
          </w:p>
        </w:tc>
      </w:tr>
      <w:tr w:rsidR="0063045B" w:rsidRPr="00562ABE" w14:paraId="51476276" w14:textId="77777777" w:rsidTr="005E3059">
        <w:tc>
          <w:tcPr>
            <w:tcW w:w="5778" w:type="dxa"/>
          </w:tcPr>
          <w:p w14:paraId="5A8443BE" w14:textId="7E5B8C52" w:rsidR="0063045B" w:rsidRPr="00562ABE" w:rsidRDefault="0063045B" w:rsidP="00C95A23">
            <w:pPr>
              <w:pStyle w:val="Tekstpodstawowy"/>
              <w:spacing w:after="40"/>
              <w:ind w:left="284"/>
              <w:rPr>
                <w:rFonts w:asciiTheme="majorHAnsi" w:hAnsiTheme="majorHAnsi" w:cstheme="majorHAnsi"/>
                <w:b w:val="0"/>
                <w:sz w:val="20"/>
              </w:rPr>
            </w:pPr>
          </w:p>
        </w:tc>
        <w:tc>
          <w:tcPr>
            <w:tcW w:w="3799" w:type="dxa"/>
          </w:tcPr>
          <w:p w14:paraId="1F27B494" w14:textId="19231FED" w:rsidR="0063045B" w:rsidRPr="00562ABE" w:rsidRDefault="0063045B" w:rsidP="00C95A23">
            <w:pPr>
              <w:pStyle w:val="Tekstpodstawowy"/>
              <w:spacing w:after="40"/>
              <w:rPr>
                <w:rFonts w:asciiTheme="majorHAnsi" w:hAnsiTheme="majorHAnsi" w:cstheme="majorHAnsi"/>
                <w:b w:val="0"/>
                <w:sz w:val="20"/>
              </w:rPr>
            </w:pPr>
          </w:p>
        </w:tc>
      </w:tr>
      <w:tr w:rsidR="0063045B" w:rsidRPr="00E65B89" w14:paraId="1B0634E4" w14:textId="77777777" w:rsidTr="005E3059">
        <w:tc>
          <w:tcPr>
            <w:tcW w:w="5778" w:type="dxa"/>
          </w:tcPr>
          <w:p w14:paraId="3A993AC2"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237001EA"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6DDE789" w14:textId="77777777" w:rsidTr="005E3059">
        <w:tc>
          <w:tcPr>
            <w:tcW w:w="5778" w:type="dxa"/>
          </w:tcPr>
          <w:p w14:paraId="5827E239"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0D1E84E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060B755D" w14:textId="77777777" w:rsidTr="005E3059">
        <w:trPr>
          <w:trHeight w:val="281"/>
        </w:trPr>
        <w:tc>
          <w:tcPr>
            <w:tcW w:w="5778" w:type="dxa"/>
          </w:tcPr>
          <w:p w14:paraId="6A086D80"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05DB591" w14:textId="77777777" w:rsidR="0063045B" w:rsidRPr="00E65B89" w:rsidRDefault="0063045B" w:rsidP="0063045B">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63045B" w:rsidRPr="00E65B89" w14:paraId="74B22D5A" w14:textId="77777777" w:rsidTr="005E3059">
        <w:tc>
          <w:tcPr>
            <w:tcW w:w="5778" w:type="dxa"/>
          </w:tcPr>
          <w:p w14:paraId="00A223AA"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673EF10B"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5388CCFF" w14:textId="77777777" w:rsidTr="005E3059">
        <w:trPr>
          <w:trHeight w:val="273"/>
        </w:trPr>
        <w:tc>
          <w:tcPr>
            <w:tcW w:w="5778" w:type="dxa"/>
          </w:tcPr>
          <w:p w14:paraId="7282D2B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1FDBEFBC"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670B106F" w14:textId="77777777" w:rsidTr="005E3059">
        <w:trPr>
          <w:trHeight w:val="273"/>
        </w:trPr>
        <w:tc>
          <w:tcPr>
            <w:tcW w:w="5778" w:type="dxa"/>
          </w:tcPr>
          <w:p w14:paraId="422D3A56"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6BC9B50C" w14:textId="77777777" w:rsidR="008C6170" w:rsidRPr="00E65B89" w:rsidRDefault="0063045B" w:rsidP="0063045B">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63045B" w:rsidRPr="00E65B89" w:rsidRDefault="008C6170" w:rsidP="008C6170">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63045B" w:rsidRPr="00E65B89" w14:paraId="54AA13A4" w14:textId="77777777" w:rsidTr="005E3059">
        <w:trPr>
          <w:trHeight w:val="273"/>
        </w:trPr>
        <w:tc>
          <w:tcPr>
            <w:tcW w:w="5778" w:type="dxa"/>
          </w:tcPr>
          <w:p w14:paraId="2E825F7F"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vAlign w:val="center"/>
          </w:tcPr>
          <w:p w14:paraId="5A965790" w14:textId="636162E8" w:rsidR="0063045B" w:rsidRPr="00E65B89" w:rsidRDefault="0063045B" w:rsidP="008C6170">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1440FD">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63045B" w:rsidRPr="00E65B89" w14:paraId="0186BDC1" w14:textId="77777777" w:rsidTr="005E3059">
        <w:tc>
          <w:tcPr>
            <w:tcW w:w="5778" w:type="dxa"/>
          </w:tcPr>
          <w:p w14:paraId="1BC05CBD"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3DB27030"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3C79BE2E" w14:textId="77777777" w:rsidTr="005E3059">
        <w:tc>
          <w:tcPr>
            <w:tcW w:w="5778" w:type="dxa"/>
          </w:tcPr>
          <w:p w14:paraId="292A4033" w14:textId="77777777" w:rsidR="0063045B" w:rsidRPr="00E65B89" w:rsidRDefault="0063045B" w:rsidP="0063045B">
            <w:pPr>
              <w:pStyle w:val="Tekstpodstawowy"/>
              <w:spacing w:after="40"/>
              <w:rPr>
                <w:rFonts w:asciiTheme="majorHAnsi" w:hAnsiTheme="majorHAnsi" w:cstheme="majorHAnsi"/>
                <w:sz w:val="20"/>
                <w:u w:val="single"/>
              </w:rPr>
            </w:pPr>
          </w:p>
        </w:tc>
        <w:tc>
          <w:tcPr>
            <w:tcW w:w="3799" w:type="dxa"/>
          </w:tcPr>
          <w:p w14:paraId="54EDA903" w14:textId="77777777" w:rsidR="0063045B" w:rsidRPr="00E65B89" w:rsidRDefault="0063045B" w:rsidP="0063045B">
            <w:pPr>
              <w:pStyle w:val="Tekstpodstawowy"/>
              <w:spacing w:after="40"/>
              <w:rPr>
                <w:rFonts w:asciiTheme="majorHAnsi" w:hAnsiTheme="majorHAnsi" w:cstheme="majorHAnsi"/>
                <w:sz w:val="20"/>
                <w:u w:val="single"/>
              </w:rPr>
            </w:pPr>
          </w:p>
        </w:tc>
      </w:tr>
      <w:tr w:rsidR="0063045B" w:rsidRPr="00E65B89" w14:paraId="7E4A07CC" w14:textId="77777777" w:rsidTr="005E3059">
        <w:tc>
          <w:tcPr>
            <w:tcW w:w="9577" w:type="dxa"/>
            <w:gridSpan w:val="2"/>
          </w:tcPr>
          <w:p w14:paraId="2581C407" w14:textId="77777777" w:rsidR="0063045B" w:rsidRPr="00E65B89" w:rsidRDefault="0063045B" w:rsidP="0063045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4E171B" w:rsidRPr="00E65B89" w14:paraId="7F088AA8" w14:textId="77777777" w:rsidTr="005E3059">
        <w:tc>
          <w:tcPr>
            <w:tcW w:w="9577" w:type="dxa"/>
            <w:gridSpan w:val="2"/>
          </w:tcPr>
          <w:p w14:paraId="663A9981" w14:textId="77777777" w:rsidR="004E171B" w:rsidRPr="00E65B89" w:rsidRDefault="004E171B" w:rsidP="004E171B">
            <w:pPr>
              <w:pStyle w:val="Tytu"/>
              <w:spacing w:after="40"/>
              <w:jc w:val="both"/>
              <w:rPr>
                <w:rFonts w:asciiTheme="majorHAnsi" w:hAnsiTheme="majorHAnsi" w:cstheme="majorHAnsi"/>
                <w:b w:val="0"/>
                <w:sz w:val="20"/>
              </w:rPr>
            </w:pPr>
          </w:p>
          <w:p w14:paraId="711FE33F" w14:textId="77777777" w:rsidR="004E171B" w:rsidRPr="00E65B89" w:rsidRDefault="004E171B" w:rsidP="004E171B">
            <w:pPr>
              <w:pStyle w:val="Tytu"/>
              <w:spacing w:after="40"/>
              <w:jc w:val="both"/>
              <w:rPr>
                <w:rFonts w:asciiTheme="majorHAnsi" w:hAnsiTheme="majorHAnsi" w:cstheme="majorHAnsi"/>
                <w:b w:val="0"/>
                <w:sz w:val="20"/>
              </w:rPr>
            </w:pPr>
          </w:p>
          <w:p w14:paraId="6F5DCB9D" w14:textId="77777777" w:rsidR="004E171B" w:rsidRPr="00E65B89" w:rsidRDefault="004E171B" w:rsidP="004E171B">
            <w:pPr>
              <w:pStyle w:val="Tytu"/>
              <w:spacing w:after="40"/>
              <w:jc w:val="both"/>
              <w:rPr>
                <w:rFonts w:asciiTheme="majorHAnsi" w:hAnsiTheme="majorHAnsi" w:cstheme="majorHAnsi"/>
                <w:b w:val="0"/>
                <w:sz w:val="20"/>
              </w:rPr>
            </w:pPr>
          </w:p>
          <w:p w14:paraId="7C593D3E" w14:textId="77777777" w:rsidR="004E171B" w:rsidRPr="00E65B89" w:rsidRDefault="004E171B" w:rsidP="004E171B">
            <w:pPr>
              <w:pStyle w:val="Tytu"/>
              <w:spacing w:after="40"/>
              <w:jc w:val="both"/>
              <w:rPr>
                <w:rFonts w:asciiTheme="majorHAnsi" w:hAnsiTheme="majorHAnsi" w:cstheme="majorHAnsi"/>
                <w:b w:val="0"/>
                <w:sz w:val="20"/>
              </w:rPr>
            </w:pPr>
          </w:p>
          <w:p w14:paraId="05BC4892" w14:textId="77777777" w:rsidR="004E171B" w:rsidRPr="00E65B89" w:rsidRDefault="004E171B" w:rsidP="004E171B">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8C6170" w:rsidRPr="00E65B89" w:rsidRDefault="008C6170" w:rsidP="004E171B">
            <w:pPr>
              <w:pStyle w:val="Tytu"/>
              <w:spacing w:after="40"/>
              <w:jc w:val="both"/>
              <w:rPr>
                <w:rFonts w:asciiTheme="majorHAnsi" w:hAnsiTheme="majorHAnsi" w:cstheme="majorHAnsi"/>
                <w:b w:val="0"/>
                <w:sz w:val="20"/>
              </w:rPr>
            </w:pPr>
          </w:p>
          <w:p w14:paraId="2D62A974" w14:textId="025A1015" w:rsidR="008C6170" w:rsidRPr="00E65B89" w:rsidRDefault="00D04017" w:rsidP="004E171B">
            <w:pPr>
              <w:pStyle w:val="Tytu"/>
              <w:spacing w:after="40"/>
              <w:jc w:val="both"/>
              <w:rPr>
                <w:rFonts w:asciiTheme="majorHAnsi" w:hAnsiTheme="majorHAnsi" w:cstheme="majorHAnsi"/>
                <w:b w:val="0"/>
                <w:sz w:val="20"/>
              </w:rPr>
            </w:pPr>
            <w:r w:rsidRPr="00D04017">
              <w:rPr>
                <w:rFonts w:asciiTheme="majorHAnsi" w:hAnsiTheme="majorHAnsi" w:cstheme="majorHAnsi"/>
                <w:b w:val="0"/>
                <w:sz w:val="20"/>
              </w:rPr>
              <w:t>Tomasz Witaszczyk</w:t>
            </w:r>
            <w:r w:rsidR="004F0028">
              <w:rPr>
                <w:rFonts w:asciiTheme="majorHAnsi" w:hAnsiTheme="majorHAnsi" w:cstheme="majorHAnsi"/>
                <w:b w:val="0"/>
                <w:sz w:val="20"/>
              </w:rPr>
              <w:t xml:space="preserve"> </w:t>
            </w:r>
            <w:r w:rsidR="008C6170" w:rsidRPr="00E65B89">
              <w:rPr>
                <w:rFonts w:asciiTheme="majorHAnsi" w:hAnsiTheme="majorHAnsi" w:cstheme="majorHAnsi"/>
                <w:b w:val="0"/>
                <w:sz w:val="20"/>
              </w:rPr>
              <w:tab/>
            </w:r>
          </w:p>
          <w:p w14:paraId="355E55A6" w14:textId="77777777" w:rsidR="004E171B" w:rsidRPr="00E65B89" w:rsidRDefault="004E171B" w:rsidP="0063045B">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4C5B5C85" w14:textId="0E566A70" w:rsidR="005E353F"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784BBA83" w:rsidR="00093CF4" w:rsidRDefault="00093CF4" w:rsidP="002E374F">
      <w:pPr>
        <w:pStyle w:val="Tytu"/>
        <w:spacing w:after="40"/>
        <w:jc w:val="both"/>
        <w:rPr>
          <w:rFonts w:asciiTheme="majorHAnsi" w:hAnsiTheme="majorHAnsi" w:cstheme="majorHAnsi"/>
          <w:sz w:val="20"/>
        </w:rPr>
      </w:pPr>
    </w:p>
    <w:p w14:paraId="0C3F306D" w14:textId="6F316A63"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78D59E70" w14:textId="23E66E13" w:rsidR="00E37F70" w:rsidRDefault="004D4B24"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14C0F03D" w14:textId="7920A30E" w:rsidR="00B01BA4" w:rsidRPr="00B01BA4"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E5447F">
        <w:rPr>
          <w:rFonts w:asciiTheme="majorHAnsi" w:hAnsiTheme="majorHAnsi" w:cstheme="majorHAnsi"/>
          <w:sz w:val="20"/>
          <w:szCs w:val="20"/>
        </w:rPr>
        <w:t xml:space="preserve">Przedmiotem zamówienia jest </w:t>
      </w:r>
      <w:r w:rsidR="00B01BA4" w:rsidRPr="00B01BA4">
        <w:rPr>
          <w:rFonts w:asciiTheme="majorHAnsi" w:hAnsiTheme="majorHAnsi" w:cstheme="majorHAnsi"/>
          <w:sz w:val="20"/>
          <w:szCs w:val="20"/>
        </w:rPr>
        <w:t>wykonanie robót budowlanych polegających na budowie brakującego ciągu pieszo – rowerowego oraz budowie oświetlenia wraz z systemem monitoringu CCTV.</w:t>
      </w:r>
    </w:p>
    <w:p w14:paraId="48CD0922" w14:textId="741C3875" w:rsid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Zadanie podzielone jest na części.</w:t>
      </w:r>
    </w:p>
    <w:p w14:paraId="43E6466F" w14:textId="77777777" w:rsidR="00B01BA4" w:rsidRPr="00B01BA4" w:rsidRDefault="00B01BA4" w:rsidP="00DC1100">
      <w:pPr>
        <w:numPr>
          <w:ilvl w:val="0"/>
          <w:numId w:val="43"/>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CZĘŚĆ 1:  Budowa brakującego utwardzonego ciągu pieszo – rowerowego</w:t>
      </w:r>
    </w:p>
    <w:p w14:paraId="79AEE1C1" w14:textId="7428EB6F" w:rsidR="00B01BA4" w:rsidRPr="00B01BA4" w:rsidRDefault="00B01BA4" w:rsidP="00DC1100">
      <w:pPr>
        <w:numPr>
          <w:ilvl w:val="0"/>
          <w:numId w:val="43"/>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CZĘŚĆ 2: Budowa oświetlenia terenu wraz z systemem monitoringu CCTV</w:t>
      </w:r>
    </w:p>
    <w:p w14:paraId="5C9028AB" w14:textId="6A776021"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CZĘŚĆ 1:  Budowa brakującego utwardzonego ciągu pieszo – rowerowego z kostki dekoracyjnej zabezpieczonej fabrycznie powłoką przeciw zabrudzeniom (kostkę należy dostosować kształtem i kolorem do istniejących ścieżek).</w:t>
      </w:r>
    </w:p>
    <w:p w14:paraId="2174FDEB" w14:textId="77777777" w:rsidR="00B01BA4" w:rsidRPr="00B01BA4" w:rsidRDefault="00B01BA4" w:rsidP="00DC1100">
      <w:pPr>
        <w:numPr>
          <w:ilvl w:val="0"/>
          <w:numId w:val="44"/>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dowóz i przemieszczanie mas ziemnych i kruszyw do prac związanych z budową ciągów jezdnych,</w:t>
      </w:r>
    </w:p>
    <w:p w14:paraId="203DD306" w14:textId="77777777" w:rsidR="00B01BA4" w:rsidRPr="00B01BA4" w:rsidRDefault="00B01BA4" w:rsidP="00DC1100">
      <w:pPr>
        <w:numPr>
          <w:ilvl w:val="0"/>
          <w:numId w:val="44"/>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budowa utwardzeń zgodnie z dokumentacją</w:t>
      </w:r>
    </w:p>
    <w:p w14:paraId="7ED55EEC" w14:textId="77777777" w:rsidR="00B01BA4" w:rsidRPr="00B01BA4" w:rsidRDefault="00B01BA4" w:rsidP="00DC1100">
      <w:pPr>
        <w:numPr>
          <w:ilvl w:val="0"/>
          <w:numId w:val="44"/>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zakup i montaż ławek - 8 ławek (6 szt. z oparciem i 2 szt. bez oparcia -ławki wyglądem należy dostosować do istniejących)</w:t>
      </w:r>
    </w:p>
    <w:p w14:paraId="5AA78A74" w14:textId="77777777" w:rsidR="00B01BA4" w:rsidRPr="00B01BA4" w:rsidRDefault="00B01BA4" w:rsidP="00DC1100">
      <w:pPr>
        <w:numPr>
          <w:ilvl w:val="0"/>
          <w:numId w:val="44"/>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zakup i montaż 3 koszy na śmieci o poj. ok.45 l (kosze należy wyglądem dostosować do istniejących)</w:t>
      </w:r>
    </w:p>
    <w:p w14:paraId="687774C1" w14:textId="77777777" w:rsidR="00B01BA4" w:rsidRPr="00B01BA4" w:rsidRDefault="00B01BA4" w:rsidP="00DC1100">
      <w:pPr>
        <w:numPr>
          <w:ilvl w:val="0"/>
          <w:numId w:val="44"/>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wywóz nadwyżki mas ziemnych w miejsce składowania odpadów,</w:t>
      </w:r>
    </w:p>
    <w:p w14:paraId="49C7108A" w14:textId="77777777" w:rsidR="00B01BA4" w:rsidRPr="00B01BA4" w:rsidRDefault="00B01BA4" w:rsidP="00DC1100">
      <w:pPr>
        <w:numPr>
          <w:ilvl w:val="0"/>
          <w:numId w:val="44"/>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Wyrównanie gruntu po robotach budowlanych i posianie trawy.</w:t>
      </w:r>
    </w:p>
    <w:p w14:paraId="74D264B5" w14:textId="77777777" w:rsidR="00B01BA4" w:rsidRPr="00B01BA4" w:rsidRDefault="00B01BA4" w:rsidP="00B01BA4">
      <w:pPr>
        <w:tabs>
          <w:tab w:val="left" w:pos="3855"/>
        </w:tabs>
        <w:spacing w:after="40" w:line="276" w:lineRule="auto"/>
        <w:ind w:left="284"/>
        <w:jc w:val="both"/>
        <w:rPr>
          <w:rFonts w:asciiTheme="majorHAnsi" w:hAnsiTheme="majorHAnsi" w:cstheme="majorHAnsi"/>
          <w:sz w:val="20"/>
          <w:szCs w:val="20"/>
        </w:rPr>
      </w:pPr>
      <w:r w:rsidRPr="00B01BA4">
        <w:rPr>
          <w:rFonts w:asciiTheme="majorHAnsi" w:hAnsiTheme="majorHAnsi" w:cstheme="majorHAnsi"/>
          <w:sz w:val="20"/>
          <w:szCs w:val="20"/>
        </w:rPr>
        <w:t>Wszystkie nowe elementy małej architektury należy dostosować kształtem, wielkością i kolorystyką do już istniejących. Montaż koszy na śmieci na płytach chodnikowych (płyty należy zakupić, wielkość płyt dostosować do wymiarów koszy). Wszystkie elementy małej architektury osadzić w fundamencie betonowym.</w:t>
      </w:r>
    </w:p>
    <w:p w14:paraId="466E6725" w14:textId="77777777" w:rsidR="00B01BA4" w:rsidRPr="00B01BA4" w:rsidRDefault="00B01BA4" w:rsidP="00B01BA4">
      <w:pPr>
        <w:tabs>
          <w:tab w:val="left" w:pos="3855"/>
        </w:tabs>
        <w:spacing w:after="40" w:line="276" w:lineRule="auto"/>
        <w:ind w:left="284"/>
        <w:jc w:val="both"/>
        <w:rPr>
          <w:rFonts w:asciiTheme="majorHAnsi" w:hAnsiTheme="majorHAnsi" w:cstheme="majorHAnsi"/>
          <w:sz w:val="20"/>
          <w:szCs w:val="20"/>
        </w:rPr>
      </w:pPr>
      <w:r w:rsidRPr="00B01BA4">
        <w:rPr>
          <w:rFonts w:asciiTheme="majorHAnsi" w:hAnsiTheme="majorHAnsi" w:cstheme="majorHAnsi"/>
          <w:sz w:val="20"/>
          <w:szCs w:val="20"/>
        </w:rPr>
        <w:t xml:space="preserve">Materiały użyte na elementy małej architektury: konstrukcja ze stali ocynkowanej, malowanej proszkowo; listwy na ławkach o grubości nie mniejszej niż 3,5 cm, listwy drewniane zaimpregnowane trzykrotnie </w:t>
      </w:r>
      <w:proofErr w:type="spellStart"/>
      <w:r w:rsidRPr="00B01BA4">
        <w:rPr>
          <w:rFonts w:asciiTheme="majorHAnsi" w:hAnsiTheme="majorHAnsi" w:cstheme="majorHAnsi"/>
          <w:sz w:val="20"/>
          <w:szCs w:val="20"/>
        </w:rPr>
        <w:t>lakierobejcą</w:t>
      </w:r>
      <w:proofErr w:type="spellEnd"/>
      <w:r w:rsidRPr="00B01BA4">
        <w:rPr>
          <w:rFonts w:asciiTheme="majorHAnsi" w:hAnsiTheme="majorHAnsi" w:cstheme="majorHAnsi"/>
          <w:sz w:val="20"/>
          <w:szCs w:val="20"/>
        </w:rPr>
        <w:t xml:space="preserve"> w kolorze zbliżonym do istniejących ławek.</w:t>
      </w:r>
    </w:p>
    <w:p w14:paraId="08199349" w14:textId="77777777" w:rsidR="00B01BA4" w:rsidRDefault="00B01BA4" w:rsidP="00B01BA4">
      <w:pPr>
        <w:tabs>
          <w:tab w:val="left" w:pos="3855"/>
        </w:tabs>
        <w:spacing w:after="40" w:line="276" w:lineRule="auto"/>
        <w:ind w:left="284"/>
        <w:jc w:val="both"/>
        <w:rPr>
          <w:rFonts w:asciiTheme="majorHAnsi" w:hAnsiTheme="majorHAnsi" w:cstheme="majorHAnsi"/>
          <w:sz w:val="20"/>
          <w:szCs w:val="20"/>
        </w:rPr>
      </w:pPr>
      <w:r w:rsidRPr="006E0CE3">
        <w:rPr>
          <w:rFonts w:eastAsia="Calibri" w:cs="Calibri"/>
          <w:noProof/>
          <w:color w:val="000000"/>
        </w:rPr>
        <w:drawing>
          <wp:inline distT="0" distB="0" distL="0" distR="0" wp14:anchorId="762E236D" wp14:editId="74C3765A">
            <wp:extent cx="4157668" cy="2344190"/>
            <wp:effectExtent l="0" t="0" r="0" b="0"/>
            <wp:docPr id="1" name="Obraz 1" descr="ławka z oparc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ławka z oparcie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1474" cy="2397080"/>
                    </a:xfrm>
                    <a:prstGeom prst="rect">
                      <a:avLst/>
                    </a:prstGeom>
                    <a:noFill/>
                    <a:ln>
                      <a:noFill/>
                    </a:ln>
                  </pic:spPr>
                </pic:pic>
              </a:graphicData>
            </a:graphic>
          </wp:inline>
        </w:drawing>
      </w:r>
      <w:r w:rsidRPr="00B01BA4">
        <w:rPr>
          <w:rFonts w:asciiTheme="majorHAnsi" w:hAnsiTheme="majorHAnsi" w:cstheme="majorHAnsi"/>
          <w:sz w:val="20"/>
          <w:szCs w:val="20"/>
        </w:rPr>
        <w:t xml:space="preserve"> </w:t>
      </w:r>
    </w:p>
    <w:p w14:paraId="0B4AB21F" w14:textId="3BDE09AB" w:rsidR="00B01BA4" w:rsidRDefault="00B01BA4" w:rsidP="00B01BA4">
      <w:pPr>
        <w:tabs>
          <w:tab w:val="left" w:pos="3855"/>
        </w:tabs>
        <w:spacing w:after="40" w:line="276" w:lineRule="auto"/>
        <w:ind w:left="284"/>
        <w:jc w:val="both"/>
        <w:rPr>
          <w:rFonts w:asciiTheme="majorHAnsi" w:hAnsiTheme="majorHAnsi" w:cstheme="majorHAnsi"/>
          <w:sz w:val="20"/>
          <w:szCs w:val="20"/>
        </w:rPr>
      </w:pPr>
      <w:r>
        <w:rPr>
          <w:rFonts w:asciiTheme="majorHAnsi" w:hAnsiTheme="majorHAnsi" w:cstheme="majorHAnsi"/>
          <w:sz w:val="20"/>
          <w:szCs w:val="20"/>
        </w:rPr>
        <w:t xml:space="preserve">Zdjęcie nr 1 - </w:t>
      </w:r>
      <w:r w:rsidRPr="00B01BA4">
        <w:rPr>
          <w:rFonts w:asciiTheme="majorHAnsi" w:hAnsiTheme="majorHAnsi" w:cstheme="majorHAnsi"/>
          <w:sz w:val="20"/>
          <w:szCs w:val="20"/>
        </w:rPr>
        <w:t>Ławki istniejące z oparciem – długość ok. 1,9m wysokość ok. 75cm</w:t>
      </w:r>
    </w:p>
    <w:p w14:paraId="71D7DD03" w14:textId="04FB5CD5" w:rsidR="00B01BA4" w:rsidRPr="00B01BA4" w:rsidRDefault="00B01BA4" w:rsidP="00B01BA4">
      <w:pPr>
        <w:tabs>
          <w:tab w:val="left" w:pos="3855"/>
        </w:tabs>
        <w:spacing w:after="40" w:line="276" w:lineRule="auto"/>
        <w:ind w:left="284"/>
        <w:jc w:val="both"/>
        <w:rPr>
          <w:rFonts w:asciiTheme="majorHAnsi" w:hAnsiTheme="majorHAnsi" w:cstheme="majorHAnsi"/>
          <w:sz w:val="20"/>
          <w:szCs w:val="20"/>
        </w:rPr>
      </w:pPr>
      <w:r w:rsidRPr="006E0CE3">
        <w:rPr>
          <w:rFonts w:eastAsia="Calibri" w:cs="Calibri"/>
          <w:noProof/>
          <w:color w:val="000000"/>
        </w:rPr>
        <w:lastRenderedPageBreak/>
        <w:drawing>
          <wp:inline distT="0" distB="0" distL="0" distR="0" wp14:anchorId="65EEC7C2" wp14:editId="2D243109">
            <wp:extent cx="4157666" cy="2344189"/>
            <wp:effectExtent l="0" t="0" r="0" b="0"/>
            <wp:docPr id="2" name="Obraz 2" descr="ławka bez op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ławka bez oparc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5587" cy="2365570"/>
                    </a:xfrm>
                    <a:prstGeom prst="rect">
                      <a:avLst/>
                    </a:prstGeom>
                    <a:noFill/>
                    <a:ln>
                      <a:noFill/>
                    </a:ln>
                  </pic:spPr>
                </pic:pic>
              </a:graphicData>
            </a:graphic>
          </wp:inline>
        </w:drawing>
      </w:r>
    </w:p>
    <w:p w14:paraId="14D8B09F" w14:textId="423CB945" w:rsidR="00B01BA4" w:rsidRPr="00B01BA4" w:rsidRDefault="00B01BA4" w:rsidP="00B01BA4">
      <w:pPr>
        <w:tabs>
          <w:tab w:val="left" w:pos="3855"/>
        </w:tabs>
        <w:spacing w:after="40" w:line="276" w:lineRule="auto"/>
        <w:ind w:left="363"/>
        <w:jc w:val="both"/>
        <w:rPr>
          <w:rFonts w:asciiTheme="majorHAnsi" w:hAnsiTheme="majorHAnsi" w:cstheme="majorHAnsi"/>
          <w:sz w:val="20"/>
          <w:szCs w:val="20"/>
        </w:rPr>
      </w:pPr>
      <w:r>
        <w:rPr>
          <w:rFonts w:asciiTheme="majorHAnsi" w:hAnsiTheme="majorHAnsi" w:cstheme="majorHAnsi"/>
          <w:sz w:val="20"/>
          <w:szCs w:val="20"/>
        </w:rPr>
        <w:t xml:space="preserve">Zdjęcie nr 2 - </w:t>
      </w:r>
      <w:r w:rsidRPr="00B01BA4">
        <w:rPr>
          <w:rFonts w:asciiTheme="majorHAnsi" w:hAnsiTheme="majorHAnsi" w:cstheme="majorHAnsi"/>
          <w:sz w:val="20"/>
          <w:szCs w:val="20"/>
        </w:rPr>
        <w:t>Ławki istniejące bez oparcia – długość ok. 1,8m wysokość siedziska ok.46 cm, szerokość ok. 45cm</w:t>
      </w:r>
    </w:p>
    <w:p w14:paraId="57FC89D2" w14:textId="6D2C506B" w:rsidR="00B01BA4" w:rsidRPr="00B01BA4" w:rsidRDefault="00B01BA4" w:rsidP="00B01BA4">
      <w:pPr>
        <w:tabs>
          <w:tab w:val="left" w:pos="3855"/>
        </w:tabs>
        <w:spacing w:after="40" w:line="276" w:lineRule="auto"/>
        <w:ind w:left="284"/>
        <w:jc w:val="both"/>
        <w:rPr>
          <w:rFonts w:asciiTheme="majorHAnsi" w:hAnsiTheme="majorHAnsi" w:cstheme="majorHAnsi"/>
          <w:sz w:val="20"/>
          <w:szCs w:val="20"/>
        </w:rPr>
      </w:pPr>
      <w:r w:rsidRPr="006E0CE3">
        <w:rPr>
          <w:rFonts w:eastAsia="Calibri" w:cs="Calibri"/>
          <w:noProof/>
          <w:color w:val="000000"/>
        </w:rPr>
        <w:drawing>
          <wp:inline distT="0" distB="0" distL="0" distR="0" wp14:anchorId="3B13E31C" wp14:editId="389FFFFD">
            <wp:extent cx="2687955" cy="4760595"/>
            <wp:effectExtent l="0" t="0" r="0" b="1905"/>
            <wp:docPr id="3" name="Obraz 3" descr="ko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os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7955" cy="4760595"/>
                    </a:xfrm>
                    <a:prstGeom prst="rect">
                      <a:avLst/>
                    </a:prstGeom>
                    <a:noFill/>
                    <a:ln>
                      <a:noFill/>
                    </a:ln>
                  </pic:spPr>
                </pic:pic>
              </a:graphicData>
            </a:graphic>
          </wp:inline>
        </w:drawing>
      </w:r>
    </w:p>
    <w:p w14:paraId="0E4010C3" w14:textId="47595689" w:rsidR="00B01BA4" w:rsidRPr="00B01BA4" w:rsidRDefault="00B01BA4" w:rsidP="00B01BA4">
      <w:pPr>
        <w:tabs>
          <w:tab w:val="left" w:pos="3855"/>
        </w:tabs>
        <w:spacing w:after="40" w:line="276" w:lineRule="auto"/>
        <w:ind w:left="363"/>
        <w:jc w:val="both"/>
        <w:rPr>
          <w:rFonts w:asciiTheme="majorHAnsi" w:hAnsiTheme="majorHAnsi" w:cstheme="majorHAnsi"/>
          <w:sz w:val="20"/>
          <w:szCs w:val="20"/>
        </w:rPr>
      </w:pPr>
      <w:r>
        <w:rPr>
          <w:rFonts w:asciiTheme="majorHAnsi" w:hAnsiTheme="majorHAnsi" w:cstheme="majorHAnsi"/>
          <w:sz w:val="20"/>
          <w:szCs w:val="20"/>
        </w:rPr>
        <w:t xml:space="preserve">Zdjęcie nr 3 - </w:t>
      </w:r>
      <w:r w:rsidRPr="00B01BA4">
        <w:rPr>
          <w:rFonts w:asciiTheme="majorHAnsi" w:hAnsiTheme="majorHAnsi" w:cstheme="majorHAnsi"/>
          <w:sz w:val="20"/>
          <w:szCs w:val="20"/>
        </w:rPr>
        <w:t>Istniejący Kosz o wymiarach 40 cm x 40 cm i wysokości ok. 55 cm.</w:t>
      </w:r>
    </w:p>
    <w:p w14:paraId="335BD603" w14:textId="77777777"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CZĘŚĆ 2: wykonanie oświetlenia terenu:</w:t>
      </w:r>
    </w:p>
    <w:p w14:paraId="652DF546" w14:textId="77777777" w:rsidR="00B01BA4" w:rsidRPr="00B01BA4" w:rsidRDefault="00B01BA4" w:rsidP="00DC1100">
      <w:pPr>
        <w:numPr>
          <w:ilvl w:val="0"/>
          <w:numId w:val="45"/>
        </w:numPr>
        <w:tabs>
          <w:tab w:val="clear" w:pos="363"/>
          <w:tab w:val="num" w:pos="851"/>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 xml:space="preserve">Przedmiotem zamówienia jest wykonanie oświetlenia wokół zbiornika Kępina przy istniejących ścieżkach oraz na odcinku brakującym od strony południowej zbiornika, a także wykonanie monitoringu wizyjnego CCTV. </w:t>
      </w:r>
    </w:p>
    <w:p w14:paraId="2F276382" w14:textId="4563896F" w:rsidR="00B01BA4" w:rsidRDefault="00B01BA4" w:rsidP="00DC1100">
      <w:pPr>
        <w:numPr>
          <w:ilvl w:val="0"/>
          <w:numId w:val="45"/>
        </w:numPr>
        <w:tabs>
          <w:tab w:val="clear" w:pos="363"/>
          <w:tab w:val="num" w:pos="851"/>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Całość prac związanych z budową oświetlenia należy wykonać na podstawie dokumentacji zamiennej dla zagospodarowanie terenu wokół zbiornika Kępina oraz na podstawie dokumentacji projektowej dla etapu II – brakującego odcinak od strony południowej zbiornika. Wszystkie słupy i oprawy należy ujednolicić i zastosować słupy aluminiowe anodowane w kolorze srebrno - szarym z fabrycznie zabezpieczoną powłoką elastomeru w kolorze anodyzacji słupa. System monitoringu wykonać na podstawie dokumentacji projektowej  w zakresie instalacji monitoringu.</w:t>
      </w:r>
    </w:p>
    <w:p w14:paraId="15214D58" w14:textId="77777777" w:rsidR="00B01BA4" w:rsidRPr="00B01BA4" w:rsidRDefault="00B01BA4" w:rsidP="00DC1100">
      <w:pPr>
        <w:numPr>
          <w:ilvl w:val="0"/>
          <w:numId w:val="45"/>
        </w:numPr>
        <w:tabs>
          <w:tab w:val="clear" w:pos="363"/>
          <w:tab w:val="num" w:pos="851"/>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W skład przedmiotu zamówienia wchodzą:</w:t>
      </w:r>
    </w:p>
    <w:p w14:paraId="39A0D7A6" w14:textId="600A40E8" w:rsidR="00B01BA4" w:rsidRPr="00B01BA4" w:rsidRDefault="00B01BA4" w:rsidP="00DC1100">
      <w:pPr>
        <w:numPr>
          <w:ilvl w:val="0"/>
          <w:numId w:val="46"/>
        </w:numPr>
        <w:tabs>
          <w:tab w:val="clear" w:pos="363"/>
          <w:tab w:val="left" w:pos="3855"/>
        </w:tabs>
        <w:spacing w:after="40" w:line="276" w:lineRule="auto"/>
        <w:ind w:left="1134"/>
        <w:jc w:val="both"/>
        <w:rPr>
          <w:rFonts w:asciiTheme="majorHAnsi" w:hAnsiTheme="majorHAnsi" w:cstheme="majorHAnsi"/>
          <w:sz w:val="20"/>
          <w:szCs w:val="20"/>
        </w:rPr>
      </w:pPr>
      <w:r w:rsidRPr="00B01BA4">
        <w:rPr>
          <w:rFonts w:asciiTheme="majorHAnsi" w:hAnsiTheme="majorHAnsi" w:cstheme="majorHAnsi"/>
          <w:sz w:val="20"/>
          <w:szCs w:val="20"/>
        </w:rPr>
        <w:t xml:space="preserve">oświetlenie alejek: </w:t>
      </w:r>
    </w:p>
    <w:p w14:paraId="6A7DDB5C" w14:textId="77777777" w:rsidR="00B01BA4" w:rsidRPr="00B01BA4" w:rsidRDefault="00B01BA4" w:rsidP="00DC1100">
      <w:pPr>
        <w:numPr>
          <w:ilvl w:val="0"/>
          <w:numId w:val="47"/>
        </w:numPr>
        <w:tabs>
          <w:tab w:val="clear" w:pos="363"/>
          <w:tab w:val="left" w:pos="3855"/>
        </w:tabs>
        <w:spacing w:after="40" w:line="276" w:lineRule="auto"/>
        <w:ind w:left="1560"/>
        <w:jc w:val="both"/>
        <w:rPr>
          <w:rFonts w:asciiTheme="majorHAnsi" w:hAnsiTheme="majorHAnsi" w:cstheme="majorHAnsi"/>
          <w:sz w:val="20"/>
          <w:szCs w:val="20"/>
        </w:rPr>
      </w:pPr>
      <w:r w:rsidRPr="00B01BA4">
        <w:rPr>
          <w:rFonts w:asciiTheme="majorHAnsi" w:hAnsiTheme="majorHAnsi" w:cstheme="majorHAnsi"/>
          <w:sz w:val="20"/>
          <w:szCs w:val="20"/>
        </w:rPr>
        <w:t>Lampy z oprawami typu A: L5, L13, L12, L14, L40, L41, L42, L24</w:t>
      </w:r>
    </w:p>
    <w:p w14:paraId="79555360" w14:textId="77777777" w:rsidR="00B01BA4" w:rsidRPr="00B01BA4" w:rsidRDefault="00B01BA4" w:rsidP="00DC1100">
      <w:pPr>
        <w:numPr>
          <w:ilvl w:val="0"/>
          <w:numId w:val="47"/>
        </w:numPr>
        <w:tabs>
          <w:tab w:val="clear" w:pos="363"/>
          <w:tab w:val="left" w:pos="3855"/>
        </w:tabs>
        <w:spacing w:after="40" w:line="276" w:lineRule="auto"/>
        <w:ind w:left="1560"/>
        <w:jc w:val="both"/>
        <w:rPr>
          <w:rFonts w:asciiTheme="majorHAnsi" w:hAnsiTheme="majorHAnsi" w:cstheme="majorHAnsi"/>
          <w:sz w:val="20"/>
          <w:szCs w:val="20"/>
        </w:rPr>
      </w:pPr>
      <w:r w:rsidRPr="00B01BA4">
        <w:rPr>
          <w:rFonts w:asciiTheme="majorHAnsi" w:hAnsiTheme="majorHAnsi" w:cstheme="majorHAnsi"/>
          <w:sz w:val="20"/>
          <w:szCs w:val="20"/>
        </w:rPr>
        <w:lastRenderedPageBreak/>
        <w:t>Lampy z oprawami typu B: L15, L16, L17, L18, L19, L20, L21, L22, L23, L25, L26, L27, L28, L29, L30, L31, L32, L33, L34, L35, L36, L43, L44, L45, L46, L47, L48, L49, L50, L51, L52, L53, L54, L55 oraz z dokumentacji dla etapu II L59, L60, L61, L62, L63, L64</w:t>
      </w:r>
    </w:p>
    <w:p w14:paraId="596C8CD9" w14:textId="77777777" w:rsidR="00B01BA4" w:rsidRPr="00B01BA4" w:rsidRDefault="00B01BA4" w:rsidP="00DC1100">
      <w:pPr>
        <w:numPr>
          <w:ilvl w:val="0"/>
          <w:numId w:val="46"/>
        </w:numPr>
        <w:tabs>
          <w:tab w:val="clear" w:pos="363"/>
          <w:tab w:val="left" w:pos="3855"/>
        </w:tabs>
        <w:spacing w:after="40" w:line="276" w:lineRule="auto"/>
        <w:ind w:left="1134"/>
        <w:jc w:val="both"/>
        <w:rPr>
          <w:rFonts w:asciiTheme="majorHAnsi" w:hAnsiTheme="majorHAnsi" w:cstheme="majorHAnsi"/>
          <w:sz w:val="20"/>
          <w:szCs w:val="20"/>
        </w:rPr>
      </w:pPr>
      <w:r w:rsidRPr="00B01BA4">
        <w:rPr>
          <w:rFonts w:asciiTheme="majorHAnsi" w:hAnsiTheme="majorHAnsi" w:cstheme="majorHAnsi"/>
          <w:sz w:val="20"/>
          <w:szCs w:val="20"/>
        </w:rPr>
        <w:t>oświetlenie dwóch altan ogrodowych C2, C3;</w:t>
      </w:r>
    </w:p>
    <w:p w14:paraId="34644E27" w14:textId="77777777" w:rsidR="00B01BA4" w:rsidRPr="00B01BA4" w:rsidRDefault="00B01BA4" w:rsidP="00DC1100">
      <w:pPr>
        <w:numPr>
          <w:ilvl w:val="0"/>
          <w:numId w:val="46"/>
        </w:numPr>
        <w:tabs>
          <w:tab w:val="clear" w:pos="363"/>
          <w:tab w:val="left" w:pos="3855"/>
        </w:tabs>
        <w:spacing w:after="40" w:line="276" w:lineRule="auto"/>
        <w:ind w:left="1134"/>
        <w:jc w:val="both"/>
        <w:rPr>
          <w:rFonts w:asciiTheme="majorHAnsi" w:hAnsiTheme="majorHAnsi" w:cstheme="majorHAnsi"/>
          <w:sz w:val="20"/>
          <w:szCs w:val="20"/>
        </w:rPr>
      </w:pPr>
      <w:r w:rsidRPr="00B01BA4">
        <w:rPr>
          <w:rFonts w:asciiTheme="majorHAnsi" w:hAnsiTheme="majorHAnsi" w:cstheme="majorHAnsi"/>
          <w:sz w:val="20"/>
          <w:szCs w:val="20"/>
        </w:rPr>
        <w:t>rozbudowa tablicy sterowania oświetleniem TSO;</w:t>
      </w:r>
    </w:p>
    <w:p w14:paraId="07170889" w14:textId="77777777" w:rsidR="00B01BA4" w:rsidRPr="00B01BA4" w:rsidRDefault="00B01BA4" w:rsidP="00DC1100">
      <w:pPr>
        <w:numPr>
          <w:ilvl w:val="0"/>
          <w:numId w:val="46"/>
        </w:numPr>
        <w:tabs>
          <w:tab w:val="clear" w:pos="363"/>
          <w:tab w:val="left" w:pos="3855"/>
        </w:tabs>
        <w:spacing w:after="40" w:line="276" w:lineRule="auto"/>
        <w:ind w:left="1134"/>
        <w:jc w:val="both"/>
        <w:rPr>
          <w:rFonts w:asciiTheme="majorHAnsi" w:hAnsiTheme="majorHAnsi" w:cstheme="majorHAnsi"/>
          <w:sz w:val="20"/>
          <w:szCs w:val="20"/>
        </w:rPr>
      </w:pPr>
      <w:r w:rsidRPr="00B01BA4">
        <w:rPr>
          <w:rFonts w:asciiTheme="majorHAnsi" w:hAnsiTheme="majorHAnsi" w:cstheme="majorHAnsi"/>
          <w:sz w:val="20"/>
          <w:szCs w:val="20"/>
        </w:rPr>
        <w:t>kablowa sieć oświetleniowa;</w:t>
      </w:r>
    </w:p>
    <w:p w14:paraId="19AF257F" w14:textId="77777777" w:rsidR="00B01BA4" w:rsidRPr="00B01BA4" w:rsidRDefault="00B01BA4" w:rsidP="00DC1100">
      <w:pPr>
        <w:numPr>
          <w:ilvl w:val="0"/>
          <w:numId w:val="46"/>
        </w:numPr>
        <w:tabs>
          <w:tab w:val="clear" w:pos="363"/>
          <w:tab w:val="left" w:pos="3855"/>
        </w:tabs>
        <w:spacing w:after="40" w:line="276" w:lineRule="auto"/>
        <w:ind w:left="1134"/>
        <w:jc w:val="both"/>
        <w:rPr>
          <w:rFonts w:asciiTheme="majorHAnsi" w:hAnsiTheme="majorHAnsi" w:cstheme="majorHAnsi"/>
          <w:sz w:val="20"/>
          <w:szCs w:val="20"/>
        </w:rPr>
      </w:pPr>
      <w:r w:rsidRPr="00B01BA4">
        <w:rPr>
          <w:rFonts w:asciiTheme="majorHAnsi" w:hAnsiTheme="majorHAnsi" w:cstheme="majorHAnsi"/>
          <w:sz w:val="20"/>
          <w:szCs w:val="20"/>
        </w:rPr>
        <w:t>uziemienia robocze;</w:t>
      </w:r>
    </w:p>
    <w:p w14:paraId="6F3E35AD" w14:textId="77777777" w:rsidR="00B01BA4" w:rsidRPr="00B01BA4" w:rsidRDefault="00B01BA4" w:rsidP="00DC1100">
      <w:pPr>
        <w:numPr>
          <w:ilvl w:val="0"/>
          <w:numId w:val="46"/>
        </w:numPr>
        <w:tabs>
          <w:tab w:val="clear" w:pos="363"/>
          <w:tab w:val="left" w:pos="3855"/>
        </w:tabs>
        <w:spacing w:after="40" w:line="276" w:lineRule="auto"/>
        <w:ind w:left="1134"/>
        <w:jc w:val="both"/>
        <w:rPr>
          <w:rFonts w:asciiTheme="majorHAnsi" w:hAnsiTheme="majorHAnsi" w:cstheme="majorHAnsi"/>
          <w:sz w:val="20"/>
          <w:szCs w:val="20"/>
        </w:rPr>
      </w:pPr>
      <w:r w:rsidRPr="00B01BA4">
        <w:rPr>
          <w:rFonts w:asciiTheme="majorHAnsi" w:hAnsiTheme="majorHAnsi" w:cstheme="majorHAnsi"/>
          <w:sz w:val="20"/>
          <w:szCs w:val="20"/>
        </w:rPr>
        <w:t>wykonanie systemu monitoringu;</w:t>
      </w:r>
    </w:p>
    <w:p w14:paraId="409E250F" w14:textId="77777777" w:rsidR="00B01BA4" w:rsidRPr="00B01BA4" w:rsidRDefault="00B01BA4" w:rsidP="00DC1100">
      <w:pPr>
        <w:numPr>
          <w:ilvl w:val="0"/>
          <w:numId w:val="46"/>
        </w:numPr>
        <w:tabs>
          <w:tab w:val="clear" w:pos="363"/>
          <w:tab w:val="left" w:pos="3855"/>
        </w:tabs>
        <w:spacing w:after="40" w:line="276" w:lineRule="auto"/>
        <w:ind w:left="1134"/>
        <w:jc w:val="both"/>
        <w:rPr>
          <w:rFonts w:asciiTheme="majorHAnsi" w:hAnsiTheme="majorHAnsi" w:cstheme="majorHAnsi"/>
          <w:sz w:val="20"/>
          <w:szCs w:val="20"/>
        </w:rPr>
      </w:pPr>
      <w:r w:rsidRPr="00B01BA4">
        <w:rPr>
          <w:rFonts w:asciiTheme="majorHAnsi" w:hAnsiTheme="majorHAnsi" w:cstheme="majorHAnsi"/>
          <w:sz w:val="20"/>
          <w:szCs w:val="20"/>
        </w:rPr>
        <w:t>wywóz nadwyżki mas ziemnych w miejsce składowania odpadów,</w:t>
      </w:r>
    </w:p>
    <w:p w14:paraId="0E0089FE" w14:textId="77777777" w:rsidR="00B01BA4" w:rsidRPr="00B01BA4" w:rsidRDefault="00B01BA4" w:rsidP="00DC1100">
      <w:pPr>
        <w:numPr>
          <w:ilvl w:val="0"/>
          <w:numId w:val="46"/>
        </w:numPr>
        <w:tabs>
          <w:tab w:val="clear" w:pos="363"/>
          <w:tab w:val="left" w:pos="3855"/>
        </w:tabs>
        <w:spacing w:after="40" w:line="276" w:lineRule="auto"/>
        <w:ind w:left="1134"/>
        <w:jc w:val="both"/>
        <w:rPr>
          <w:rFonts w:asciiTheme="majorHAnsi" w:hAnsiTheme="majorHAnsi" w:cstheme="majorHAnsi"/>
          <w:sz w:val="20"/>
          <w:szCs w:val="20"/>
        </w:rPr>
      </w:pPr>
      <w:r w:rsidRPr="00B01BA4">
        <w:rPr>
          <w:rFonts w:asciiTheme="majorHAnsi" w:hAnsiTheme="majorHAnsi" w:cstheme="majorHAnsi"/>
          <w:sz w:val="20"/>
          <w:szCs w:val="20"/>
        </w:rPr>
        <w:t>wyrównanie gruntu po robotach budowlanych i posianie trawy.</w:t>
      </w:r>
    </w:p>
    <w:p w14:paraId="20761B6A" w14:textId="77777777" w:rsidR="00B01BA4" w:rsidRPr="00CA77D5" w:rsidRDefault="00B01BA4" w:rsidP="00DC1100">
      <w:pPr>
        <w:numPr>
          <w:ilvl w:val="0"/>
          <w:numId w:val="37"/>
        </w:numPr>
        <w:tabs>
          <w:tab w:val="left" w:pos="3855"/>
        </w:tabs>
        <w:spacing w:after="40" w:line="276" w:lineRule="auto"/>
        <w:jc w:val="both"/>
        <w:rPr>
          <w:rFonts w:asciiTheme="majorHAnsi" w:hAnsiTheme="majorHAnsi" w:cstheme="majorHAnsi"/>
          <w:b/>
          <w:bCs/>
          <w:sz w:val="20"/>
          <w:szCs w:val="20"/>
        </w:rPr>
      </w:pPr>
      <w:r w:rsidRPr="00CA77D5">
        <w:rPr>
          <w:rFonts w:asciiTheme="majorHAnsi" w:hAnsiTheme="majorHAnsi" w:cstheme="majorHAnsi"/>
          <w:b/>
          <w:bCs/>
          <w:sz w:val="20"/>
          <w:szCs w:val="20"/>
        </w:rPr>
        <w:t>Zakres prac obejmuje mniejszy zakres niż dokumentacja projektowa.</w:t>
      </w:r>
    </w:p>
    <w:p w14:paraId="5E5E88B9" w14:textId="4D170026"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 xml:space="preserve">Ze względu na przyszłe ustawienie na działce nr 267, przy ul. Zduńskiej, kontenera sanitarnego w wycenie przedmiotu zamówienia należy uwzględnić dodatkowo ułożenie (w jednym wykopie z kablem zasilającym latarnie oraz system monitoringu) kabla typy YAKY 4x25mm2 długości ok. 510m zasilający kontener sanitarny. Kabel ten należy włączyć do istniejącego złącza oświetlenia ulicznego i zakończyć w miejscu wskazanym na planie zagospodarowania. Końcówkę kabla należy uszczelnić kapturkiem termokurczliwym. Złącze oświetleniowe należy doposażyć w rozłącznik bezpiecznikowy R301 z wkładką D01 </w:t>
      </w:r>
      <w:proofErr w:type="spellStart"/>
      <w:r w:rsidRPr="00B01BA4">
        <w:rPr>
          <w:rFonts w:asciiTheme="majorHAnsi" w:hAnsiTheme="majorHAnsi" w:cstheme="majorHAnsi"/>
          <w:sz w:val="20"/>
          <w:szCs w:val="20"/>
        </w:rPr>
        <w:t>gG</w:t>
      </w:r>
      <w:proofErr w:type="spellEnd"/>
      <w:r w:rsidRPr="00B01BA4">
        <w:rPr>
          <w:rFonts w:asciiTheme="majorHAnsi" w:hAnsiTheme="majorHAnsi" w:cstheme="majorHAnsi"/>
          <w:sz w:val="20"/>
          <w:szCs w:val="20"/>
        </w:rPr>
        <w:t xml:space="preserve"> 10A oraz ogranicznik przepięć B+C. Dodatkowo pod ciągami pieszo-rowerowymi, rowem, kabel należy zabezpieczyć rurą ochronną typu HDPE ø75mm sumarycznej długości 60m.</w:t>
      </w:r>
    </w:p>
    <w:p w14:paraId="5CA2E5F9" w14:textId="18FFDC74"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Dodatkowo we wspólnym wykopie z oświetleniem należy ułożyć trzy linie kablowe typu YAKY 5x35mm2. Linia pierwsza od złącza oświetleniowego do punktu K2 długości ok. 86m. Linia druga od złącza do latarni L19 pomiędzy altanami długości ok. 274m. Linia trzecia od złącza do placu z ogniskiem, pomiędzy latarniami L41 – L42 długości ok. 200m. Linie z zapasem długości min. 4m należy pozostawić przy złączu. Końcówki kabli uszczelnić kapturkami termokurczliwymi. Drugi koniec linii kablowych należy zakończyć słupkiem (w kolorze zbliżonym do słupów oświetleniowych, stosowanych na zewnątrz) z gniazdem 400V 16A oraz dwoma gniazdami 230V 16A.</w:t>
      </w:r>
    </w:p>
    <w:p w14:paraId="705D7046" w14:textId="77777777"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Dodatkowo pod ciągami pieszo-rowerowymi, rowem, kable należy zabezpieczyć rurą ochronną typu HDPE ø75mm sumarycznej długości ok. 80m.</w:t>
      </w:r>
    </w:p>
    <w:p w14:paraId="32402915" w14:textId="77777777"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 xml:space="preserve">Teren opracowania obejmuje działki nr </w:t>
      </w:r>
      <w:proofErr w:type="spellStart"/>
      <w:r w:rsidRPr="00B01BA4">
        <w:rPr>
          <w:rFonts w:asciiTheme="majorHAnsi" w:hAnsiTheme="majorHAnsi" w:cstheme="majorHAnsi"/>
          <w:sz w:val="20"/>
          <w:szCs w:val="20"/>
        </w:rPr>
        <w:t>ewid</w:t>
      </w:r>
      <w:proofErr w:type="spellEnd"/>
      <w:r w:rsidRPr="00B01BA4">
        <w:rPr>
          <w:rFonts w:asciiTheme="majorHAnsi" w:hAnsiTheme="majorHAnsi" w:cstheme="majorHAnsi"/>
          <w:sz w:val="20"/>
          <w:szCs w:val="20"/>
        </w:rPr>
        <w:t xml:space="preserve">.: 248, 249, 250, 251, 252/2, 253, 254, 255, 256, 257, 258, 259, 260, 261, 262, 263, 264, 265, 266, 267, 269, 270, 271, 272/2, 273, 274, 275, 277, 278, 279, 280, 281, 282, 283, 284, 285, 286, 287, 292, 293, 294, 295, 296, 297, 300, 301, 302, 303, 304, 305, 306, 307, 308, 309, 310, 311, 336, 337,338, 339, 373, 376, 377 - obręb nr [0013] w jednostce ewidencyjnej [101901_1] - Zduńska Wola, powiat zduńskowolski oraz na części działki nr </w:t>
      </w:r>
      <w:proofErr w:type="spellStart"/>
      <w:r w:rsidRPr="00B01BA4">
        <w:rPr>
          <w:rFonts w:asciiTheme="majorHAnsi" w:hAnsiTheme="majorHAnsi" w:cstheme="majorHAnsi"/>
          <w:sz w:val="20"/>
          <w:szCs w:val="20"/>
        </w:rPr>
        <w:t>ewid</w:t>
      </w:r>
      <w:proofErr w:type="spellEnd"/>
      <w:r w:rsidRPr="00B01BA4">
        <w:rPr>
          <w:rFonts w:asciiTheme="majorHAnsi" w:hAnsiTheme="majorHAnsi" w:cstheme="majorHAnsi"/>
          <w:sz w:val="20"/>
          <w:szCs w:val="20"/>
        </w:rPr>
        <w:t>. 120/1, obręb 9 Paprotnia, gmina Zapolice.</w:t>
      </w:r>
    </w:p>
    <w:p w14:paraId="383FCED8" w14:textId="2F2EBA9E"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 xml:space="preserve">Zamawiający w terminie do 14 dni od zawarcia umowy przekaże wykonawcy plac budowy. </w:t>
      </w:r>
    </w:p>
    <w:p w14:paraId="5CB6C6EC" w14:textId="0F291CBF" w:rsidR="00B01BA4" w:rsidRPr="00B25C65"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25C65">
        <w:rPr>
          <w:rFonts w:asciiTheme="majorHAnsi" w:hAnsiTheme="majorHAnsi" w:cstheme="majorHAnsi"/>
          <w:sz w:val="20"/>
          <w:szCs w:val="20"/>
        </w:rPr>
        <w:t xml:space="preserve">W wycenie należy uwzględnić wszystkie elementy niezbędne do prawidłowego wykonania zadania, wynikające z SIWZ, projektu, </w:t>
      </w:r>
      <w:proofErr w:type="spellStart"/>
      <w:r w:rsidRPr="00B25C65">
        <w:rPr>
          <w:rFonts w:asciiTheme="majorHAnsi" w:hAnsiTheme="majorHAnsi" w:cstheme="majorHAnsi"/>
          <w:sz w:val="20"/>
          <w:szCs w:val="20"/>
        </w:rPr>
        <w:t>STWiORB</w:t>
      </w:r>
      <w:proofErr w:type="spellEnd"/>
      <w:r w:rsidRPr="00B25C65">
        <w:rPr>
          <w:rFonts w:asciiTheme="majorHAnsi" w:hAnsiTheme="majorHAnsi" w:cstheme="majorHAnsi"/>
          <w:sz w:val="20"/>
          <w:szCs w:val="20"/>
        </w:rPr>
        <w:t xml:space="preserve"> lub nieuwzględnionych w SIWZ, projekcie, </w:t>
      </w:r>
      <w:proofErr w:type="spellStart"/>
      <w:r w:rsidRPr="00B25C65">
        <w:rPr>
          <w:rFonts w:asciiTheme="majorHAnsi" w:hAnsiTheme="majorHAnsi" w:cstheme="majorHAnsi"/>
          <w:sz w:val="20"/>
          <w:szCs w:val="20"/>
        </w:rPr>
        <w:t>STWiORB</w:t>
      </w:r>
      <w:proofErr w:type="spellEnd"/>
      <w:r w:rsidRPr="00B25C65">
        <w:rPr>
          <w:rFonts w:asciiTheme="majorHAnsi" w:hAnsiTheme="majorHAnsi" w:cstheme="majorHAnsi"/>
          <w:sz w:val="20"/>
          <w:szCs w:val="20"/>
        </w:rPr>
        <w:t xml:space="preserve"> , a niezbędne do prawidłowego wykonania zadania.</w:t>
      </w:r>
    </w:p>
    <w:p w14:paraId="1D26800C" w14:textId="77777777" w:rsidR="00B01BA4" w:rsidRPr="00B01BA4" w:rsidRDefault="00B01BA4" w:rsidP="00B25C65">
      <w:pPr>
        <w:tabs>
          <w:tab w:val="left" w:pos="3855"/>
        </w:tabs>
        <w:spacing w:after="40" w:line="276" w:lineRule="auto"/>
        <w:ind w:left="363"/>
        <w:jc w:val="both"/>
        <w:rPr>
          <w:rFonts w:asciiTheme="majorHAnsi" w:hAnsiTheme="majorHAnsi" w:cstheme="majorHAnsi"/>
          <w:sz w:val="20"/>
          <w:szCs w:val="20"/>
        </w:rPr>
      </w:pPr>
      <w:r w:rsidRPr="00B01BA4">
        <w:rPr>
          <w:rFonts w:asciiTheme="majorHAnsi" w:hAnsiTheme="majorHAnsi" w:cstheme="majorHAnsi"/>
          <w:sz w:val="20"/>
          <w:szCs w:val="20"/>
        </w:rPr>
        <w:t xml:space="preserve">UWAGA: </w:t>
      </w:r>
    </w:p>
    <w:p w14:paraId="6678813D" w14:textId="3740744C" w:rsidR="00B01BA4" w:rsidRPr="00B01BA4" w:rsidRDefault="00B01BA4" w:rsidP="00B25C65">
      <w:pPr>
        <w:tabs>
          <w:tab w:val="left" w:pos="3855"/>
        </w:tabs>
        <w:spacing w:after="40" w:line="276" w:lineRule="auto"/>
        <w:ind w:left="363"/>
        <w:jc w:val="both"/>
        <w:rPr>
          <w:rFonts w:asciiTheme="majorHAnsi" w:hAnsiTheme="majorHAnsi" w:cstheme="majorHAnsi"/>
          <w:sz w:val="20"/>
          <w:szCs w:val="20"/>
        </w:rPr>
      </w:pPr>
      <w:r w:rsidRPr="00B01BA4">
        <w:rPr>
          <w:rFonts w:asciiTheme="majorHAnsi" w:hAnsiTheme="majorHAnsi" w:cstheme="majorHAnsi"/>
          <w:sz w:val="20"/>
          <w:szCs w:val="20"/>
        </w:rPr>
        <w:t xml:space="preserve">Dokumentacja projektowa oraz przedmiar stanowiący załącznik do przetargu obejmuje szerszy zakres niż przedmiot zamówienia. Przedmiar robót jest elementem pomocniczym i nie stanowi podstawy wyceny. </w:t>
      </w:r>
    </w:p>
    <w:p w14:paraId="3802F586" w14:textId="77777777"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Podstawa wykonania robót:</w:t>
      </w:r>
    </w:p>
    <w:p w14:paraId="6491F2E3" w14:textId="77777777" w:rsidR="00B01BA4" w:rsidRPr="00B01BA4" w:rsidRDefault="00B01BA4" w:rsidP="00DC1100">
      <w:pPr>
        <w:numPr>
          <w:ilvl w:val="0"/>
          <w:numId w:val="48"/>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Decyzja nr 479.2017 o pozwoleniu na budowę, znak AB.6740.1.401.2017 z dnia 30 października 2017 r. wydana przez Starostę Zduńskowolskiego;</w:t>
      </w:r>
    </w:p>
    <w:p w14:paraId="4E1FED2B" w14:textId="77777777" w:rsidR="00B01BA4" w:rsidRPr="00B01BA4" w:rsidRDefault="00B01BA4" w:rsidP="00DC1100">
      <w:pPr>
        <w:numPr>
          <w:ilvl w:val="0"/>
          <w:numId w:val="48"/>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Decyzja zamienna nr 313.2020 o pozwoleniu na budowę, znak AB.6740.1.284.2020 z dnia 17 czerwca 2020 r. wydana przez Starostę Zduńskowolskiego;</w:t>
      </w:r>
    </w:p>
    <w:p w14:paraId="39DA6A61" w14:textId="77777777" w:rsidR="00B01BA4" w:rsidRPr="00B01BA4" w:rsidRDefault="00B01BA4" w:rsidP="00DC1100">
      <w:pPr>
        <w:numPr>
          <w:ilvl w:val="0"/>
          <w:numId w:val="48"/>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Decyzja nr 356.2030 o pozwoleniu na budowę, znak AB.6740.1.330.2020 z dnia 3 lipca 2020 r. wydana przez Starostę Zduńskowolskiego;</w:t>
      </w:r>
    </w:p>
    <w:p w14:paraId="0B2FEA53" w14:textId="77777777" w:rsidR="00B01BA4" w:rsidRPr="00B01BA4" w:rsidRDefault="00B01BA4" w:rsidP="00DC1100">
      <w:pPr>
        <w:numPr>
          <w:ilvl w:val="0"/>
          <w:numId w:val="48"/>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dokumentacja projektowa;</w:t>
      </w:r>
    </w:p>
    <w:p w14:paraId="483D38E2" w14:textId="77777777" w:rsidR="00B01BA4" w:rsidRPr="00B01BA4" w:rsidRDefault="00B01BA4" w:rsidP="00DC1100">
      <w:pPr>
        <w:numPr>
          <w:ilvl w:val="0"/>
          <w:numId w:val="48"/>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specyfikacje techniczne wykonania i odbioru robót;</w:t>
      </w:r>
    </w:p>
    <w:p w14:paraId="6FBC21EC" w14:textId="77777777" w:rsidR="00B01BA4" w:rsidRPr="00B01BA4" w:rsidRDefault="00B01BA4" w:rsidP="00DC1100">
      <w:pPr>
        <w:numPr>
          <w:ilvl w:val="0"/>
          <w:numId w:val="48"/>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Specyfikacja Istotnych Warunków Zamówienia.</w:t>
      </w:r>
    </w:p>
    <w:p w14:paraId="1F6E4330" w14:textId="77777777"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Wykonawca, którego oferta zostanie uznana za najkorzystniejszą, zobowiązany jest w ciągu 10 dni od podpisania umowy dostarczyć Zamawiającemu: kosztorys ofertowy, odzwierciedlający cenę za wykonanie przedmiotu zamówienia, zawartą w formularzu ofertowym oraz harmonogram rzeczowo-finansowy.</w:t>
      </w:r>
    </w:p>
    <w:p w14:paraId="64144401" w14:textId="77777777"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Zamawiający informuje, ze zadnie będzie wykonywane w przestrzeni publicznej wraz z jej budową, przebudową.</w:t>
      </w:r>
    </w:p>
    <w:p w14:paraId="253E05CB" w14:textId="2C20F56A" w:rsidR="00B01BA4" w:rsidRPr="00B25C65"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25C65">
        <w:rPr>
          <w:rFonts w:asciiTheme="majorHAnsi" w:hAnsiTheme="majorHAnsi" w:cstheme="majorHAnsi"/>
          <w:sz w:val="20"/>
          <w:szCs w:val="20"/>
        </w:rPr>
        <w:lastRenderedPageBreak/>
        <w:t>Zmawiający informuje, iż rozszerza się odpowiedzialność Wykonawcy za wady w ten sposób, że okres rękojmi za wady odpowiada terminowi gwarancji i biegnie od daty skutecznie zakończonego odbioru końcowego</w:t>
      </w:r>
    </w:p>
    <w:p w14:paraId="57710D25" w14:textId="77777777"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Materiały i wyroby użyte do wykonania przedmiotu zamówienia winny spełniać wymogi określone w przepisach prawa polskiego, posiadać atesty lub świadectwa ITB dopuszczające stosowanie ich w obiektach użyteczności publicznej oraz deklarację zgodności.</w:t>
      </w:r>
    </w:p>
    <w:p w14:paraId="6E5418D0" w14:textId="54552C43" w:rsidR="00B01BA4" w:rsidRPr="00B25C65"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25C65">
        <w:rPr>
          <w:rFonts w:asciiTheme="majorHAnsi" w:hAnsiTheme="majorHAnsi" w:cstheme="majorHAnsi"/>
          <w:sz w:val="20"/>
          <w:szCs w:val="20"/>
        </w:rPr>
        <w:t>Przy wykonawstwie oraz odbiorze robót objętych zamówieniem obowiązywać będą zasady i wymagania określone w:</w:t>
      </w:r>
    </w:p>
    <w:p w14:paraId="2B48D77A" w14:textId="77777777" w:rsidR="00B01BA4" w:rsidRPr="00B01BA4" w:rsidRDefault="00B01BA4" w:rsidP="00DC1100">
      <w:pPr>
        <w:numPr>
          <w:ilvl w:val="0"/>
          <w:numId w:val="49"/>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dokumentacji projektowej,</w:t>
      </w:r>
    </w:p>
    <w:p w14:paraId="247F3D29" w14:textId="77777777" w:rsidR="00B01BA4" w:rsidRPr="00B01BA4" w:rsidRDefault="00B01BA4" w:rsidP="00DC1100">
      <w:pPr>
        <w:numPr>
          <w:ilvl w:val="0"/>
          <w:numId w:val="49"/>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Specyfikacjach Technicznych Wykonania i Odbioru Robót Budowlanych,</w:t>
      </w:r>
    </w:p>
    <w:p w14:paraId="405A1F91" w14:textId="77777777" w:rsidR="00B01BA4" w:rsidRPr="00B01BA4" w:rsidRDefault="00B01BA4" w:rsidP="00DC1100">
      <w:pPr>
        <w:numPr>
          <w:ilvl w:val="0"/>
          <w:numId w:val="49"/>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Specyfikacji Istotnych Warunków Zamówienia,</w:t>
      </w:r>
    </w:p>
    <w:p w14:paraId="5C79D710" w14:textId="77777777" w:rsidR="00B01BA4" w:rsidRPr="00B01BA4" w:rsidRDefault="00B01BA4" w:rsidP="00DC1100">
      <w:pPr>
        <w:numPr>
          <w:ilvl w:val="0"/>
          <w:numId w:val="49"/>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obowiązujących normach,</w:t>
      </w:r>
    </w:p>
    <w:p w14:paraId="493C7567" w14:textId="77777777" w:rsidR="00B01BA4" w:rsidRPr="00B01BA4" w:rsidRDefault="00B01BA4" w:rsidP="00B25C65">
      <w:pPr>
        <w:tabs>
          <w:tab w:val="left" w:pos="3855"/>
        </w:tabs>
        <w:spacing w:after="40" w:line="276" w:lineRule="auto"/>
        <w:ind w:left="363"/>
        <w:jc w:val="both"/>
        <w:rPr>
          <w:rFonts w:asciiTheme="majorHAnsi" w:hAnsiTheme="majorHAnsi" w:cstheme="majorHAnsi"/>
          <w:sz w:val="20"/>
          <w:szCs w:val="20"/>
        </w:rPr>
      </w:pPr>
      <w:r w:rsidRPr="00B01BA4">
        <w:rPr>
          <w:rFonts w:asciiTheme="majorHAnsi" w:hAnsiTheme="majorHAnsi" w:cstheme="majorHAnsi"/>
          <w:sz w:val="20"/>
          <w:szCs w:val="20"/>
        </w:rPr>
        <w:t>z uwzględnieniem poniższych warunków:</w:t>
      </w:r>
    </w:p>
    <w:p w14:paraId="2F70BC2C" w14:textId="77777777" w:rsidR="00B01BA4" w:rsidRPr="00B01BA4" w:rsidRDefault="00B01BA4" w:rsidP="00DC1100">
      <w:pPr>
        <w:numPr>
          <w:ilvl w:val="0"/>
          <w:numId w:val="50"/>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przy wycenie oferty szczególną uwagę należy zwrócić na elementy wykończeniowe,</w:t>
      </w:r>
    </w:p>
    <w:p w14:paraId="103E5141" w14:textId="14899992" w:rsidR="00B01BA4" w:rsidRPr="00B25C65" w:rsidRDefault="00B01BA4" w:rsidP="00DC1100">
      <w:pPr>
        <w:numPr>
          <w:ilvl w:val="0"/>
          <w:numId w:val="50"/>
        </w:numPr>
        <w:tabs>
          <w:tab w:val="clear" w:pos="363"/>
          <w:tab w:val="num" w:pos="709"/>
          <w:tab w:val="left" w:pos="3855"/>
        </w:tabs>
        <w:spacing w:after="40" w:line="276" w:lineRule="auto"/>
        <w:ind w:left="709"/>
        <w:jc w:val="both"/>
        <w:rPr>
          <w:rFonts w:asciiTheme="majorHAnsi" w:hAnsiTheme="majorHAnsi" w:cstheme="majorHAnsi"/>
          <w:sz w:val="20"/>
          <w:szCs w:val="20"/>
        </w:rPr>
      </w:pPr>
      <w:r w:rsidRPr="00B25C65">
        <w:rPr>
          <w:rFonts w:asciiTheme="majorHAnsi" w:hAnsiTheme="majorHAnsi" w:cstheme="majorHAnsi"/>
          <w:sz w:val="20"/>
          <w:szCs w:val="20"/>
        </w:rPr>
        <w:t>materiały mają być zastosowane z uwzględnieniem wszelkich wymogów zawartych w opisach dokumentacji wykonawczej oraz specyfikacji technicznej wykonania i odbioru robót,</w:t>
      </w:r>
    </w:p>
    <w:p w14:paraId="41BFD8C5" w14:textId="77777777" w:rsidR="00B01BA4" w:rsidRPr="00B01BA4" w:rsidRDefault="00B01BA4" w:rsidP="00DC1100">
      <w:pPr>
        <w:numPr>
          <w:ilvl w:val="0"/>
          <w:numId w:val="50"/>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wykonawca zobowiązany jest ściśle przestrzegać instrukcji montażu wszelkich systemów stosowanych w wykonywanym obiekcie według instrukcji  wydanych przez producentów poszczególnych systemów,</w:t>
      </w:r>
    </w:p>
    <w:p w14:paraId="77EBD335" w14:textId="77777777" w:rsidR="00B01BA4" w:rsidRPr="00B01BA4" w:rsidRDefault="00B01BA4" w:rsidP="00DC1100">
      <w:pPr>
        <w:numPr>
          <w:ilvl w:val="0"/>
          <w:numId w:val="50"/>
        </w:numPr>
        <w:tabs>
          <w:tab w:val="clear" w:pos="363"/>
          <w:tab w:val="num" w:pos="709"/>
          <w:tab w:val="left" w:pos="3855"/>
        </w:tabs>
        <w:spacing w:after="40" w:line="276" w:lineRule="auto"/>
        <w:ind w:left="709"/>
        <w:jc w:val="both"/>
        <w:rPr>
          <w:rFonts w:asciiTheme="majorHAnsi" w:hAnsiTheme="majorHAnsi" w:cstheme="majorHAnsi"/>
          <w:sz w:val="20"/>
          <w:szCs w:val="20"/>
        </w:rPr>
      </w:pPr>
      <w:r w:rsidRPr="00B01BA4">
        <w:rPr>
          <w:rFonts w:asciiTheme="majorHAnsi" w:hAnsiTheme="majorHAnsi" w:cstheme="majorHAnsi"/>
          <w:sz w:val="20"/>
          <w:szCs w:val="20"/>
        </w:rPr>
        <w:t>przed wbudowaniem jakichkolwiek materiałów Wykonawca okaże Inspektorowi nadzoru świadectwo dopuszczenia tego materiału do stosowania w budownictwie i spełnienia wymogów określonych w Specyfikacjach Technicznych i Polskich Normach, w celu uzyskania zgody na jego stosowanie.</w:t>
      </w:r>
    </w:p>
    <w:p w14:paraId="2D1289B2" w14:textId="77777777" w:rsidR="00B01BA4" w:rsidRPr="00B01BA4" w:rsidRDefault="00B01BA4" w:rsidP="00DC1100">
      <w:pPr>
        <w:numPr>
          <w:ilvl w:val="0"/>
          <w:numId w:val="37"/>
        </w:numPr>
        <w:tabs>
          <w:tab w:val="left" w:pos="3855"/>
        </w:tabs>
        <w:spacing w:after="40" w:line="276" w:lineRule="auto"/>
        <w:jc w:val="both"/>
        <w:rPr>
          <w:rFonts w:asciiTheme="majorHAnsi" w:hAnsiTheme="majorHAnsi" w:cstheme="majorHAnsi"/>
          <w:sz w:val="20"/>
          <w:szCs w:val="20"/>
        </w:rPr>
      </w:pPr>
      <w:r w:rsidRPr="00B01BA4">
        <w:rPr>
          <w:rFonts w:asciiTheme="majorHAnsi" w:hAnsiTheme="majorHAnsi" w:cstheme="majorHAnsi"/>
          <w:sz w:val="20"/>
          <w:szCs w:val="20"/>
        </w:rPr>
        <w:t xml:space="preserve">Szczegółowy zakres zamówienia zawiera dokumentacja projektowa stanowiąca załącznik do SIWZ. Zamówienie zostanie udzielone na warunkach określonych we wzorze umowy dotyczącej zamówienia podstawowego (załącznik do SIWZ). </w:t>
      </w:r>
    </w:p>
    <w:p w14:paraId="3C44482F" w14:textId="77777777" w:rsidR="00B25C65"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3C34BF">
        <w:rPr>
          <w:rFonts w:asciiTheme="majorHAnsi" w:hAnsiTheme="majorHAnsi" w:cstheme="majorHAnsi"/>
          <w:sz w:val="20"/>
          <w:szCs w:val="20"/>
        </w:rPr>
        <w:t xml:space="preserve">Zamawiający wymaga, by czynności polegające </w:t>
      </w:r>
      <w:r w:rsidR="00B25C65" w:rsidRPr="00B25C65">
        <w:rPr>
          <w:rFonts w:asciiTheme="majorHAnsi" w:hAnsiTheme="majorHAnsi" w:cstheme="majorHAnsi"/>
          <w:sz w:val="20"/>
          <w:szCs w:val="20"/>
        </w:rPr>
        <w:t>na faktycznym wykonywaniu robót budowlano-montażowych objętych zakresem umowy, tj.:</w:t>
      </w:r>
    </w:p>
    <w:p w14:paraId="0657D141" w14:textId="1802BE1E" w:rsidR="00B25C65" w:rsidRPr="00B25C65" w:rsidRDefault="00B25C65" w:rsidP="00DC1100">
      <w:pPr>
        <w:numPr>
          <w:ilvl w:val="0"/>
          <w:numId w:val="51"/>
        </w:numPr>
        <w:tabs>
          <w:tab w:val="clear" w:pos="363"/>
          <w:tab w:val="num" w:pos="709"/>
          <w:tab w:val="left" w:pos="3855"/>
        </w:tabs>
        <w:spacing w:after="40" w:line="276" w:lineRule="auto"/>
        <w:ind w:left="709"/>
        <w:jc w:val="both"/>
        <w:rPr>
          <w:rFonts w:asciiTheme="majorHAnsi" w:hAnsiTheme="majorHAnsi" w:cstheme="majorHAnsi"/>
          <w:sz w:val="20"/>
          <w:szCs w:val="20"/>
        </w:rPr>
      </w:pPr>
      <w:r w:rsidRPr="00B25C65">
        <w:rPr>
          <w:rFonts w:asciiTheme="majorHAnsi" w:hAnsiTheme="majorHAnsi" w:cstheme="majorHAnsi"/>
          <w:sz w:val="20"/>
          <w:szCs w:val="20"/>
        </w:rPr>
        <w:t>roboty rozbiórkowe,</w:t>
      </w:r>
    </w:p>
    <w:p w14:paraId="7203632E" w14:textId="77777777" w:rsidR="00B25C65" w:rsidRPr="00B25C65" w:rsidRDefault="00B25C65" w:rsidP="00DC1100">
      <w:pPr>
        <w:numPr>
          <w:ilvl w:val="0"/>
          <w:numId w:val="51"/>
        </w:numPr>
        <w:tabs>
          <w:tab w:val="clear" w:pos="363"/>
          <w:tab w:val="num" w:pos="709"/>
          <w:tab w:val="left" w:pos="3855"/>
        </w:tabs>
        <w:spacing w:after="40" w:line="276" w:lineRule="auto"/>
        <w:ind w:left="709"/>
        <w:jc w:val="both"/>
        <w:rPr>
          <w:rFonts w:asciiTheme="majorHAnsi" w:hAnsiTheme="majorHAnsi" w:cstheme="majorHAnsi"/>
          <w:sz w:val="20"/>
          <w:szCs w:val="20"/>
        </w:rPr>
      </w:pPr>
      <w:r w:rsidRPr="00B25C65">
        <w:rPr>
          <w:rFonts w:asciiTheme="majorHAnsi" w:hAnsiTheme="majorHAnsi" w:cstheme="majorHAnsi"/>
          <w:sz w:val="20"/>
          <w:szCs w:val="20"/>
        </w:rPr>
        <w:t>roboty drogowe,</w:t>
      </w:r>
    </w:p>
    <w:p w14:paraId="0700E13D" w14:textId="77777777" w:rsidR="00B25C65" w:rsidRPr="00B25C65" w:rsidRDefault="00B25C65" w:rsidP="00DC1100">
      <w:pPr>
        <w:numPr>
          <w:ilvl w:val="0"/>
          <w:numId w:val="51"/>
        </w:numPr>
        <w:tabs>
          <w:tab w:val="clear" w:pos="363"/>
          <w:tab w:val="num" w:pos="709"/>
          <w:tab w:val="left" w:pos="3855"/>
        </w:tabs>
        <w:spacing w:after="40" w:line="276" w:lineRule="auto"/>
        <w:ind w:left="709"/>
        <w:jc w:val="both"/>
        <w:rPr>
          <w:rFonts w:asciiTheme="majorHAnsi" w:hAnsiTheme="majorHAnsi" w:cstheme="majorHAnsi"/>
          <w:sz w:val="20"/>
          <w:szCs w:val="20"/>
        </w:rPr>
      </w:pPr>
      <w:r w:rsidRPr="00B25C65">
        <w:rPr>
          <w:rFonts w:asciiTheme="majorHAnsi" w:hAnsiTheme="majorHAnsi" w:cstheme="majorHAnsi"/>
          <w:sz w:val="20"/>
          <w:szCs w:val="20"/>
        </w:rPr>
        <w:t>roboty instalacyjne,</w:t>
      </w:r>
    </w:p>
    <w:p w14:paraId="4767F45E" w14:textId="47CD88A6" w:rsidR="00CF5C2B" w:rsidRDefault="00CF5C2B" w:rsidP="00B25C65">
      <w:pPr>
        <w:tabs>
          <w:tab w:val="left" w:pos="3855"/>
        </w:tabs>
        <w:spacing w:after="40" w:line="276" w:lineRule="auto"/>
        <w:ind w:left="363"/>
        <w:jc w:val="both"/>
        <w:rPr>
          <w:rFonts w:asciiTheme="majorHAnsi" w:hAnsiTheme="majorHAnsi" w:cstheme="majorHAnsi"/>
          <w:sz w:val="20"/>
          <w:szCs w:val="20"/>
        </w:rPr>
      </w:pPr>
      <w:r w:rsidRPr="003C34BF">
        <w:rPr>
          <w:rFonts w:asciiTheme="majorHAnsi" w:hAnsiTheme="majorHAnsi" w:cstheme="majorHAnsi"/>
          <w:sz w:val="20"/>
          <w:szCs w:val="20"/>
        </w:rPr>
        <w:t>objętych zakresem umowy, tj.: roboty instalacyjne, o ile nie będą wykonywane przez daną osobę w ramach prowadzonej przez nią działalności gospodarczej, były wykonywane przez osoby zatrudnione (przez Wykonawcę lub podwykonawcę) na podstawie umowy o pracę.</w:t>
      </w:r>
      <w:r>
        <w:rPr>
          <w:rFonts w:asciiTheme="majorHAnsi" w:hAnsiTheme="majorHAnsi" w:cstheme="majorHAnsi"/>
          <w:sz w:val="20"/>
          <w:szCs w:val="20"/>
        </w:rPr>
        <w:t xml:space="preserve"> </w:t>
      </w:r>
    </w:p>
    <w:p w14:paraId="7A168B4B" w14:textId="77777777" w:rsidR="00CF5C2B" w:rsidRPr="00931D07" w:rsidRDefault="00CF5C2B" w:rsidP="00DC1100">
      <w:pPr>
        <w:numPr>
          <w:ilvl w:val="0"/>
          <w:numId w:val="37"/>
        </w:numPr>
        <w:tabs>
          <w:tab w:val="left" w:pos="3855"/>
        </w:tabs>
        <w:spacing w:after="40"/>
        <w:jc w:val="both"/>
        <w:rPr>
          <w:rFonts w:asciiTheme="majorHAnsi" w:hAnsiTheme="majorHAnsi" w:cstheme="majorHAnsi"/>
          <w:sz w:val="20"/>
          <w:szCs w:val="20"/>
        </w:rPr>
      </w:pPr>
      <w:r>
        <w:rPr>
          <w:rFonts w:asciiTheme="majorHAnsi" w:hAnsiTheme="majorHAnsi" w:cstheme="majorHAnsi"/>
          <w:sz w:val="20"/>
          <w:szCs w:val="20"/>
        </w:rPr>
        <w:t>Minimalny okres gwarancji wynosi 60 miesięcy.</w:t>
      </w:r>
    </w:p>
    <w:p w14:paraId="4DEAB195" w14:textId="77777777" w:rsidR="00CF5C2B" w:rsidRPr="008B38A3" w:rsidRDefault="00CF5C2B" w:rsidP="00DC1100">
      <w:pPr>
        <w:numPr>
          <w:ilvl w:val="0"/>
          <w:numId w:val="37"/>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14:paraId="3FAB8C5A" w14:textId="77777777" w:rsidR="00CF5C2B"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p>
    <w:p w14:paraId="1505C316" w14:textId="77777777" w:rsidR="004840F5" w:rsidRDefault="004840F5" w:rsidP="00CF5C2B">
      <w:pPr>
        <w:tabs>
          <w:tab w:val="left" w:pos="3855"/>
        </w:tabs>
        <w:spacing w:after="40" w:line="276" w:lineRule="auto"/>
        <w:ind w:left="363"/>
        <w:jc w:val="both"/>
        <w:rPr>
          <w:rFonts w:asciiTheme="majorHAnsi" w:hAnsiTheme="majorHAnsi" w:cstheme="majorHAnsi"/>
          <w:sz w:val="20"/>
          <w:szCs w:val="20"/>
        </w:rPr>
      </w:pPr>
      <w:r>
        <w:rPr>
          <w:rFonts w:asciiTheme="majorHAnsi" w:hAnsiTheme="majorHAnsi" w:cstheme="majorHAnsi"/>
          <w:sz w:val="20"/>
          <w:szCs w:val="20"/>
        </w:rPr>
        <w:t>Część 1:</w:t>
      </w:r>
    </w:p>
    <w:p w14:paraId="5A98BA54" w14:textId="77777777" w:rsidR="004D351A" w:rsidRDefault="004D351A" w:rsidP="004D351A">
      <w:pPr>
        <w:tabs>
          <w:tab w:val="left" w:pos="3855"/>
        </w:tabs>
        <w:spacing w:after="40" w:line="276" w:lineRule="auto"/>
        <w:ind w:left="363"/>
        <w:jc w:val="both"/>
        <w:rPr>
          <w:rFonts w:asciiTheme="majorHAnsi" w:hAnsiTheme="majorHAnsi" w:cstheme="majorHAnsi"/>
          <w:sz w:val="20"/>
          <w:szCs w:val="20"/>
        </w:rPr>
      </w:pPr>
      <w:r w:rsidRPr="00B25C65">
        <w:rPr>
          <w:rFonts w:asciiTheme="majorHAnsi" w:hAnsiTheme="majorHAnsi" w:cstheme="majorHAnsi"/>
          <w:sz w:val="20"/>
          <w:szCs w:val="20"/>
        </w:rPr>
        <w:t>45111200-0</w:t>
      </w:r>
    </w:p>
    <w:p w14:paraId="6C13C887" w14:textId="77777777" w:rsidR="004D351A" w:rsidRDefault="004D351A" w:rsidP="004D351A">
      <w:pPr>
        <w:tabs>
          <w:tab w:val="left" w:pos="3855"/>
        </w:tabs>
        <w:spacing w:after="40" w:line="276" w:lineRule="auto"/>
        <w:ind w:left="363"/>
        <w:jc w:val="both"/>
        <w:rPr>
          <w:rFonts w:asciiTheme="majorHAnsi" w:hAnsiTheme="majorHAnsi" w:cstheme="majorHAnsi"/>
          <w:sz w:val="20"/>
          <w:szCs w:val="20"/>
        </w:rPr>
      </w:pPr>
      <w:r w:rsidRPr="00B25C65">
        <w:rPr>
          <w:rFonts w:asciiTheme="majorHAnsi" w:hAnsiTheme="majorHAnsi" w:cstheme="majorHAnsi"/>
          <w:sz w:val="20"/>
          <w:szCs w:val="20"/>
        </w:rPr>
        <w:t>45233226-9</w:t>
      </w:r>
    </w:p>
    <w:p w14:paraId="26CA5AD1" w14:textId="77777777" w:rsidR="004D351A" w:rsidRDefault="004D351A" w:rsidP="004D351A">
      <w:pPr>
        <w:tabs>
          <w:tab w:val="left" w:pos="3855"/>
        </w:tabs>
        <w:spacing w:after="40" w:line="276" w:lineRule="auto"/>
        <w:ind w:left="363"/>
        <w:jc w:val="both"/>
        <w:rPr>
          <w:rFonts w:asciiTheme="majorHAnsi" w:hAnsiTheme="majorHAnsi" w:cstheme="majorHAnsi"/>
          <w:sz w:val="20"/>
          <w:szCs w:val="20"/>
        </w:rPr>
      </w:pPr>
      <w:r w:rsidRPr="00B25C65">
        <w:rPr>
          <w:rFonts w:asciiTheme="majorHAnsi" w:hAnsiTheme="majorHAnsi" w:cstheme="majorHAnsi"/>
          <w:sz w:val="20"/>
          <w:szCs w:val="20"/>
        </w:rPr>
        <w:t>45111300-1</w:t>
      </w:r>
    </w:p>
    <w:p w14:paraId="35B1E598" w14:textId="77777777" w:rsidR="004D351A" w:rsidRDefault="004D351A" w:rsidP="004D351A">
      <w:pPr>
        <w:tabs>
          <w:tab w:val="left" w:pos="3855"/>
        </w:tabs>
        <w:spacing w:after="40" w:line="276" w:lineRule="auto"/>
        <w:ind w:left="363"/>
        <w:jc w:val="both"/>
        <w:rPr>
          <w:rFonts w:asciiTheme="majorHAnsi" w:hAnsiTheme="majorHAnsi" w:cstheme="majorHAnsi"/>
          <w:sz w:val="20"/>
          <w:szCs w:val="20"/>
        </w:rPr>
      </w:pPr>
      <w:r w:rsidRPr="00B25C65">
        <w:rPr>
          <w:rFonts w:asciiTheme="majorHAnsi" w:hAnsiTheme="majorHAnsi" w:cstheme="majorHAnsi"/>
          <w:sz w:val="20"/>
          <w:szCs w:val="20"/>
        </w:rPr>
        <w:t>45112711-2</w:t>
      </w:r>
    </w:p>
    <w:p w14:paraId="3F02BABB" w14:textId="66C2712C" w:rsidR="004840F5" w:rsidRDefault="004840F5" w:rsidP="00CF5C2B">
      <w:pPr>
        <w:tabs>
          <w:tab w:val="left" w:pos="3855"/>
        </w:tabs>
        <w:spacing w:after="40" w:line="276" w:lineRule="auto"/>
        <w:ind w:left="363"/>
        <w:jc w:val="both"/>
        <w:rPr>
          <w:rFonts w:asciiTheme="majorHAnsi" w:hAnsiTheme="majorHAnsi" w:cstheme="majorHAnsi"/>
          <w:sz w:val="20"/>
          <w:szCs w:val="20"/>
        </w:rPr>
      </w:pPr>
      <w:r>
        <w:rPr>
          <w:rFonts w:asciiTheme="majorHAnsi" w:hAnsiTheme="majorHAnsi" w:cstheme="majorHAnsi"/>
          <w:sz w:val="20"/>
          <w:szCs w:val="20"/>
        </w:rPr>
        <w:t>Część 2:</w:t>
      </w:r>
    </w:p>
    <w:p w14:paraId="330FDA8B" w14:textId="21651C7D" w:rsidR="00B25C65" w:rsidRDefault="00B25C65" w:rsidP="00CF5C2B">
      <w:pPr>
        <w:tabs>
          <w:tab w:val="left" w:pos="3855"/>
        </w:tabs>
        <w:spacing w:after="40" w:line="276" w:lineRule="auto"/>
        <w:ind w:left="363"/>
        <w:jc w:val="both"/>
        <w:rPr>
          <w:rFonts w:asciiTheme="majorHAnsi" w:hAnsiTheme="majorHAnsi" w:cstheme="majorHAnsi"/>
          <w:sz w:val="20"/>
          <w:szCs w:val="20"/>
        </w:rPr>
      </w:pPr>
      <w:r w:rsidRPr="00B25C65">
        <w:rPr>
          <w:rFonts w:asciiTheme="majorHAnsi" w:hAnsiTheme="majorHAnsi" w:cstheme="majorHAnsi"/>
          <w:sz w:val="20"/>
          <w:szCs w:val="20"/>
        </w:rPr>
        <w:t>45111200-0</w:t>
      </w:r>
    </w:p>
    <w:p w14:paraId="351104A7" w14:textId="77777777" w:rsidR="00B25C65" w:rsidRDefault="00B25C65" w:rsidP="00CF5C2B">
      <w:pPr>
        <w:tabs>
          <w:tab w:val="left" w:pos="3855"/>
        </w:tabs>
        <w:spacing w:after="40" w:line="276" w:lineRule="auto"/>
        <w:ind w:left="363"/>
        <w:jc w:val="both"/>
        <w:rPr>
          <w:rFonts w:asciiTheme="majorHAnsi" w:hAnsiTheme="majorHAnsi" w:cstheme="majorHAnsi"/>
          <w:sz w:val="20"/>
          <w:szCs w:val="20"/>
        </w:rPr>
      </w:pPr>
      <w:r w:rsidRPr="00B25C65">
        <w:rPr>
          <w:rFonts w:asciiTheme="majorHAnsi" w:hAnsiTheme="majorHAnsi" w:cstheme="majorHAnsi"/>
          <w:sz w:val="20"/>
          <w:szCs w:val="20"/>
        </w:rPr>
        <w:t>45310000-3</w:t>
      </w:r>
    </w:p>
    <w:p w14:paraId="0429117D" w14:textId="1F6B9E54" w:rsidR="00CF5C2B" w:rsidRDefault="00B25C65" w:rsidP="00CF5C2B">
      <w:pPr>
        <w:tabs>
          <w:tab w:val="left" w:pos="3855"/>
        </w:tabs>
        <w:spacing w:after="40" w:line="276" w:lineRule="auto"/>
        <w:ind w:left="363"/>
        <w:jc w:val="both"/>
        <w:rPr>
          <w:rFonts w:asciiTheme="majorHAnsi" w:hAnsiTheme="majorHAnsi" w:cstheme="majorHAnsi"/>
          <w:sz w:val="20"/>
          <w:szCs w:val="20"/>
        </w:rPr>
      </w:pPr>
      <w:r w:rsidRPr="00B25C65">
        <w:rPr>
          <w:rFonts w:asciiTheme="majorHAnsi" w:hAnsiTheme="majorHAnsi" w:cstheme="majorHAnsi"/>
          <w:sz w:val="20"/>
          <w:szCs w:val="20"/>
        </w:rPr>
        <w:lastRenderedPageBreak/>
        <w:t>34971000-4</w:t>
      </w:r>
    </w:p>
    <w:p w14:paraId="7EA5C3EB" w14:textId="74234C53" w:rsidR="00B25C65" w:rsidRDefault="00B25C65" w:rsidP="00CF5C2B">
      <w:pPr>
        <w:tabs>
          <w:tab w:val="left" w:pos="3855"/>
        </w:tabs>
        <w:spacing w:after="40" w:line="276" w:lineRule="auto"/>
        <w:ind w:left="363"/>
        <w:jc w:val="both"/>
        <w:rPr>
          <w:rFonts w:asciiTheme="majorHAnsi" w:hAnsiTheme="majorHAnsi" w:cstheme="majorHAnsi"/>
          <w:sz w:val="20"/>
          <w:szCs w:val="20"/>
        </w:rPr>
      </w:pPr>
      <w:r w:rsidRPr="00B25C65">
        <w:rPr>
          <w:rFonts w:asciiTheme="majorHAnsi" w:hAnsiTheme="majorHAnsi" w:cstheme="majorHAnsi"/>
          <w:sz w:val="20"/>
          <w:szCs w:val="20"/>
        </w:rPr>
        <w:t>45223800-4</w:t>
      </w:r>
    </w:p>
    <w:p w14:paraId="3690A8C6" w14:textId="03239135" w:rsidR="00CF5C2B" w:rsidRPr="00875D2A"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75D2A">
        <w:rPr>
          <w:rFonts w:asciiTheme="majorHAnsi" w:hAnsiTheme="majorHAnsi" w:cstheme="majorHAnsi"/>
          <w:sz w:val="20"/>
          <w:szCs w:val="20"/>
        </w:rPr>
        <w:t>Zamawiający dopuszcza możliwoś</w:t>
      </w:r>
      <w:r w:rsidR="00B25C65">
        <w:rPr>
          <w:rFonts w:asciiTheme="majorHAnsi" w:hAnsiTheme="majorHAnsi" w:cstheme="majorHAnsi"/>
          <w:sz w:val="20"/>
          <w:szCs w:val="20"/>
        </w:rPr>
        <w:t>ć</w:t>
      </w:r>
      <w:r w:rsidRPr="00875D2A">
        <w:rPr>
          <w:rFonts w:asciiTheme="majorHAnsi" w:hAnsiTheme="majorHAnsi" w:cstheme="majorHAnsi"/>
          <w:sz w:val="20"/>
          <w:szCs w:val="20"/>
        </w:rPr>
        <w:t xml:space="preserve"> składania ofert częściowych</w:t>
      </w:r>
      <w:r w:rsidR="00A511D5">
        <w:rPr>
          <w:rFonts w:asciiTheme="majorHAnsi" w:hAnsiTheme="majorHAnsi" w:cstheme="majorHAnsi"/>
          <w:sz w:val="20"/>
          <w:szCs w:val="20"/>
        </w:rPr>
        <w:t>, wykonawca może złożyć ofertę na dowolną liczbę części.</w:t>
      </w:r>
    </w:p>
    <w:p w14:paraId="66A78EE4" w14:textId="77777777" w:rsidR="00CF5C2B" w:rsidRPr="008B38A3"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wariantowych.</w:t>
      </w:r>
    </w:p>
    <w:p w14:paraId="4521AE4C" w14:textId="17F036A0" w:rsidR="00CF5C2B"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3C34BF">
        <w:rPr>
          <w:rFonts w:asciiTheme="majorHAnsi" w:hAnsiTheme="majorHAnsi" w:cstheme="majorHAnsi"/>
          <w:b/>
          <w:bCs/>
          <w:sz w:val="20"/>
          <w:szCs w:val="20"/>
        </w:rPr>
        <w:t xml:space="preserve">Zamawiający </w:t>
      </w:r>
      <w:r w:rsidR="00B25C65">
        <w:rPr>
          <w:rFonts w:asciiTheme="majorHAnsi" w:hAnsiTheme="majorHAnsi" w:cstheme="majorHAnsi"/>
          <w:b/>
          <w:bCs/>
          <w:sz w:val="20"/>
          <w:szCs w:val="20"/>
        </w:rPr>
        <w:t xml:space="preserve">nie </w:t>
      </w:r>
      <w:r w:rsidRPr="003C34BF">
        <w:rPr>
          <w:rFonts w:asciiTheme="majorHAnsi" w:hAnsiTheme="majorHAnsi" w:cstheme="majorHAnsi"/>
          <w:b/>
          <w:bCs/>
          <w:sz w:val="20"/>
          <w:szCs w:val="20"/>
        </w:rPr>
        <w:t>przewiduje możliwoś</w:t>
      </w:r>
      <w:r w:rsidR="00B25C65">
        <w:rPr>
          <w:rFonts w:asciiTheme="majorHAnsi" w:hAnsiTheme="majorHAnsi" w:cstheme="majorHAnsi"/>
          <w:b/>
          <w:bCs/>
          <w:sz w:val="20"/>
          <w:szCs w:val="20"/>
        </w:rPr>
        <w:t>ci</w:t>
      </w:r>
      <w:r w:rsidRPr="003C34BF">
        <w:rPr>
          <w:rFonts w:asciiTheme="majorHAnsi" w:hAnsiTheme="majorHAnsi" w:cstheme="majorHAnsi"/>
          <w:b/>
          <w:bCs/>
          <w:sz w:val="20"/>
          <w:szCs w:val="20"/>
        </w:rPr>
        <w:t xml:space="preserve"> udzielenie zamówień, o których mowa w art. 67 ust. 1 pkt 6 ustawy Prawo zamówień publicznych.</w:t>
      </w:r>
      <w:r w:rsidRPr="003C34BF">
        <w:rPr>
          <w:rFonts w:asciiTheme="majorHAnsi" w:hAnsiTheme="majorHAnsi" w:cstheme="majorHAnsi"/>
          <w:sz w:val="20"/>
          <w:szCs w:val="20"/>
        </w:rPr>
        <w:t xml:space="preserve"> </w:t>
      </w:r>
    </w:p>
    <w:p w14:paraId="050C9B7E" w14:textId="77777777" w:rsidR="00CF5C2B" w:rsidRPr="008B38A3" w:rsidRDefault="00CF5C2B" w:rsidP="00DC1100">
      <w:pPr>
        <w:numPr>
          <w:ilvl w:val="0"/>
          <w:numId w:val="37"/>
        </w:numPr>
        <w:tabs>
          <w:tab w:val="left" w:pos="3855"/>
        </w:tabs>
        <w:spacing w:after="40" w:line="276" w:lineRule="auto"/>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61178CA9" w14:textId="5F7C2495" w:rsidR="00C95A23" w:rsidRDefault="00C95A23" w:rsidP="002E374F">
      <w:pPr>
        <w:pStyle w:val="pkt"/>
        <w:spacing w:before="0" w:after="40"/>
        <w:ind w:left="0" w:firstLine="0"/>
        <w:rPr>
          <w:rFonts w:asciiTheme="majorHAnsi" w:hAnsiTheme="majorHAnsi" w:cstheme="majorHAnsi"/>
          <w:b/>
          <w:sz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308ACCA0" w14:textId="35476D43" w:rsidR="00B25C65" w:rsidRDefault="00F41C3A" w:rsidP="003406A7">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Od dnia zawarcia umowy do</w:t>
      </w:r>
      <w:r w:rsidR="00B25C65">
        <w:rPr>
          <w:rFonts w:asciiTheme="majorHAnsi" w:hAnsiTheme="majorHAnsi" w:cstheme="majorHAnsi"/>
          <w:bCs/>
          <w:color w:val="000000"/>
          <w:sz w:val="20"/>
          <w:szCs w:val="20"/>
        </w:rPr>
        <w:t>:</w:t>
      </w:r>
    </w:p>
    <w:p w14:paraId="5CDA7181" w14:textId="24E3A0A9" w:rsidR="00B25C65" w:rsidRPr="00B25C65" w:rsidRDefault="00B25C65" w:rsidP="003406A7">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dla </w:t>
      </w:r>
      <w:r w:rsidRPr="00B25C65">
        <w:rPr>
          <w:rFonts w:asciiTheme="majorHAnsi" w:hAnsiTheme="majorHAnsi" w:cstheme="majorHAnsi"/>
          <w:bCs/>
          <w:color w:val="000000"/>
          <w:sz w:val="20"/>
          <w:szCs w:val="20"/>
        </w:rPr>
        <w:t>częś</w:t>
      </w:r>
      <w:r>
        <w:rPr>
          <w:rFonts w:asciiTheme="majorHAnsi" w:hAnsiTheme="majorHAnsi" w:cstheme="majorHAnsi"/>
          <w:bCs/>
          <w:color w:val="000000"/>
          <w:sz w:val="20"/>
          <w:szCs w:val="20"/>
        </w:rPr>
        <w:t>ci</w:t>
      </w:r>
      <w:r w:rsidRPr="00B25C65">
        <w:rPr>
          <w:rFonts w:asciiTheme="majorHAnsi" w:hAnsiTheme="majorHAnsi" w:cstheme="majorHAnsi"/>
          <w:bCs/>
          <w:color w:val="000000"/>
          <w:sz w:val="20"/>
          <w:szCs w:val="20"/>
        </w:rPr>
        <w:t xml:space="preserve"> 1 -</w:t>
      </w:r>
      <w:r>
        <w:rPr>
          <w:rFonts w:asciiTheme="majorHAnsi" w:hAnsiTheme="majorHAnsi" w:cstheme="majorHAnsi"/>
          <w:bCs/>
          <w:color w:val="000000"/>
          <w:sz w:val="20"/>
          <w:szCs w:val="20"/>
        </w:rPr>
        <w:t xml:space="preserve"> </w:t>
      </w:r>
      <w:r w:rsidR="00535A3F">
        <w:rPr>
          <w:rFonts w:asciiTheme="majorHAnsi" w:hAnsiTheme="majorHAnsi" w:cstheme="majorHAnsi"/>
          <w:bCs/>
          <w:color w:val="000000"/>
          <w:sz w:val="20"/>
          <w:szCs w:val="20"/>
        </w:rPr>
        <w:t>30</w:t>
      </w:r>
      <w:r w:rsidRPr="00B25C65">
        <w:rPr>
          <w:rFonts w:asciiTheme="majorHAnsi" w:hAnsiTheme="majorHAnsi" w:cstheme="majorHAnsi"/>
          <w:bCs/>
          <w:color w:val="000000"/>
          <w:sz w:val="20"/>
          <w:szCs w:val="20"/>
        </w:rPr>
        <w:t>/09/2020</w:t>
      </w:r>
    </w:p>
    <w:p w14:paraId="0F56FC10" w14:textId="0D206836" w:rsidR="00F41C3A" w:rsidRPr="00E30D8E" w:rsidRDefault="00B25C65" w:rsidP="003406A7">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bCs/>
          <w:color w:val="000000"/>
          <w:sz w:val="20"/>
          <w:szCs w:val="20"/>
        </w:rPr>
      </w:pPr>
      <w:r>
        <w:rPr>
          <w:rFonts w:asciiTheme="majorHAnsi" w:hAnsiTheme="majorHAnsi" w:cstheme="majorHAnsi"/>
          <w:bCs/>
          <w:color w:val="000000"/>
          <w:sz w:val="20"/>
          <w:szCs w:val="20"/>
        </w:rPr>
        <w:t xml:space="preserve">dla </w:t>
      </w:r>
      <w:r w:rsidRPr="00B25C65">
        <w:rPr>
          <w:rFonts w:asciiTheme="majorHAnsi" w:hAnsiTheme="majorHAnsi" w:cstheme="majorHAnsi"/>
          <w:bCs/>
          <w:color w:val="000000"/>
          <w:sz w:val="20"/>
          <w:szCs w:val="20"/>
        </w:rPr>
        <w:t>częś</w:t>
      </w:r>
      <w:r>
        <w:rPr>
          <w:rFonts w:asciiTheme="majorHAnsi" w:hAnsiTheme="majorHAnsi" w:cstheme="majorHAnsi"/>
          <w:bCs/>
          <w:color w:val="000000"/>
          <w:sz w:val="20"/>
          <w:szCs w:val="20"/>
        </w:rPr>
        <w:t>ci</w:t>
      </w:r>
      <w:r w:rsidRPr="00B25C65">
        <w:rPr>
          <w:rFonts w:asciiTheme="majorHAnsi" w:hAnsiTheme="majorHAnsi" w:cstheme="majorHAnsi"/>
          <w:bCs/>
          <w:color w:val="000000"/>
          <w:sz w:val="20"/>
          <w:szCs w:val="20"/>
        </w:rPr>
        <w:t xml:space="preserve"> 2 - 30/</w:t>
      </w:r>
      <w:r w:rsidR="00535A3F">
        <w:rPr>
          <w:rFonts w:asciiTheme="majorHAnsi" w:hAnsiTheme="majorHAnsi" w:cstheme="majorHAnsi"/>
          <w:bCs/>
          <w:color w:val="000000"/>
          <w:sz w:val="20"/>
          <w:szCs w:val="20"/>
        </w:rPr>
        <w:t>10</w:t>
      </w:r>
      <w:r w:rsidRPr="00B25C65">
        <w:rPr>
          <w:rFonts w:asciiTheme="majorHAnsi" w:hAnsiTheme="majorHAnsi" w:cstheme="majorHAnsi"/>
          <w:bCs/>
          <w:color w:val="000000"/>
          <w:sz w:val="20"/>
          <w:szCs w:val="20"/>
        </w:rPr>
        <w:t>/2020</w:t>
      </w:r>
    </w:p>
    <w:p w14:paraId="6448A935" w14:textId="77777777" w:rsidR="009279F1" w:rsidRPr="00E65B89" w:rsidRDefault="009279F1" w:rsidP="003406A7">
      <w:pPr>
        <w:pStyle w:val="Standard"/>
        <w:tabs>
          <w:tab w:val="left" w:pos="-15120"/>
          <w:tab w:val="left" w:pos="-11860"/>
          <w:tab w:val="left" w:pos="-11151"/>
          <w:tab w:val="left" w:pos="-10442"/>
          <w:tab w:val="left" w:pos="-10184"/>
        </w:tabs>
        <w:autoSpaceDE w:val="0"/>
        <w:spacing w:line="276" w:lineRule="auto"/>
        <w:ind w:left="284"/>
        <w:jc w:val="both"/>
        <w:rPr>
          <w:rFonts w:asciiTheme="majorHAnsi" w:hAnsiTheme="majorHAnsi" w:cstheme="majorHAnsi"/>
          <w:sz w:val="20"/>
          <w:szCs w:val="20"/>
        </w:rPr>
      </w:pP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6885C270" w14:textId="384DFF5D" w:rsidR="00E37F70" w:rsidRDefault="00E37F70" w:rsidP="00DC1100">
      <w:pPr>
        <w:keepNext/>
        <w:numPr>
          <w:ilvl w:val="3"/>
          <w:numId w:val="17"/>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64B3F61F" w14:textId="77777777" w:rsidR="003D2F5F" w:rsidRPr="00E65B89" w:rsidRDefault="003D2F5F" w:rsidP="003D2F5F">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66F5FF1E" w14:textId="77777777" w:rsidR="003D2F5F" w:rsidRPr="00E65B89" w:rsidRDefault="003D2F5F" w:rsidP="003D2F5F">
      <w:pPr>
        <w:numPr>
          <w:ilvl w:val="0"/>
          <w:numId w:val="8"/>
        </w:numPr>
        <w:tabs>
          <w:tab w:val="clear" w:pos="720"/>
          <w:tab w:val="left" w:pos="851"/>
        </w:tabs>
        <w:spacing w:after="40" w:line="276" w:lineRule="auto"/>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038E814E" w14:textId="79313457" w:rsidR="003406A7" w:rsidRDefault="003406A7" w:rsidP="003D2F5F">
      <w:pPr>
        <w:pStyle w:val="Akapitzlist"/>
        <w:keepNext/>
        <w:numPr>
          <w:ilvl w:val="2"/>
          <w:numId w:val="8"/>
        </w:numPr>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W</w:t>
      </w:r>
      <w:r w:rsidRPr="003406A7">
        <w:rPr>
          <w:rFonts w:asciiTheme="majorHAnsi" w:hAnsiTheme="majorHAnsi" w:cstheme="majorHAnsi"/>
          <w:sz w:val="20"/>
          <w:szCs w:val="20"/>
        </w:rPr>
        <w:t xml:space="preserve"> okresie ostatnich pięciu lat przed upływem terminu składania ofert, a jeżeli okres prowadzenia działalności jest krótszy – w tym okresie, wykonali należycie, zgodnie z zasadami sztuki budowlanej i prawidłowo ukończyli jedną robotę budowlaną: </w:t>
      </w:r>
    </w:p>
    <w:p w14:paraId="4E19FCEB" w14:textId="7A13E14E" w:rsidR="003406A7" w:rsidRDefault="003406A7" w:rsidP="003406A7">
      <w:pPr>
        <w:pStyle w:val="Akapitzlist"/>
        <w:keepNext/>
        <w:spacing w:after="40" w:line="276" w:lineRule="auto"/>
        <w:ind w:left="1134"/>
        <w:jc w:val="both"/>
        <w:rPr>
          <w:rFonts w:asciiTheme="majorHAnsi" w:hAnsiTheme="majorHAnsi" w:cstheme="majorHAnsi"/>
          <w:sz w:val="20"/>
          <w:szCs w:val="20"/>
        </w:rPr>
      </w:pPr>
      <w:r w:rsidRPr="003406A7">
        <w:rPr>
          <w:rFonts w:asciiTheme="majorHAnsi" w:hAnsiTheme="majorHAnsi" w:cstheme="majorHAnsi"/>
          <w:sz w:val="20"/>
          <w:szCs w:val="20"/>
        </w:rPr>
        <w:t>CZĘŚĆ 1: o wartości minimum 50 000,00 zł polegającą na budowie ciągów pieszych lub rowerowych z kostki betonowej;</w:t>
      </w:r>
    </w:p>
    <w:p w14:paraId="4F7F71A2" w14:textId="77777777" w:rsidR="006136A6" w:rsidRDefault="003406A7" w:rsidP="003406A7">
      <w:pPr>
        <w:pStyle w:val="Akapitzlist"/>
        <w:keepNext/>
        <w:spacing w:after="40" w:line="276" w:lineRule="auto"/>
        <w:ind w:left="1134"/>
        <w:jc w:val="both"/>
        <w:rPr>
          <w:rFonts w:asciiTheme="majorHAnsi" w:hAnsiTheme="majorHAnsi" w:cstheme="majorHAnsi"/>
          <w:sz w:val="20"/>
          <w:szCs w:val="20"/>
        </w:rPr>
      </w:pPr>
      <w:r w:rsidRPr="003406A7">
        <w:rPr>
          <w:rFonts w:asciiTheme="majorHAnsi" w:hAnsiTheme="majorHAnsi" w:cstheme="majorHAnsi"/>
          <w:sz w:val="20"/>
          <w:szCs w:val="20"/>
        </w:rPr>
        <w:t xml:space="preserve">CZĘŚĆ 2 : </w:t>
      </w:r>
    </w:p>
    <w:p w14:paraId="3E8649EB" w14:textId="4E394A6F" w:rsidR="006136A6" w:rsidRDefault="006136A6" w:rsidP="003406A7">
      <w:pPr>
        <w:pStyle w:val="Akapitzlist"/>
        <w:keepNext/>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 xml:space="preserve">- </w:t>
      </w:r>
      <w:r w:rsidR="003406A7" w:rsidRPr="003406A7">
        <w:rPr>
          <w:rFonts w:asciiTheme="majorHAnsi" w:hAnsiTheme="majorHAnsi" w:cstheme="majorHAnsi"/>
          <w:sz w:val="20"/>
          <w:szCs w:val="20"/>
        </w:rPr>
        <w:t>o wartoś</w:t>
      </w:r>
      <w:r w:rsidR="003406A7">
        <w:rPr>
          <w:rFonts w:asciiTheme="majorHAnsi" w:hAnsiTheme="majorHAnsi" w:cstheme="majorHAnsi"/>
          <w:sz w:val="20"/>
          <w:szCs w:val="20"/>
        </w:rPr>
        <w:t>c</w:t>
      </w:r>
      <w:r w:rsidR="003406A7" w:rsidRPr="003406A7">
        <w:rPr>
          <w:rFonts w:asciiTheme="majorHAnsi" w:hAnsiTheme="majorHAnsi" w:cstheme="majorHAnsi"/>
          <w:sz w:val="20"/>
          <w:szCs w:val="20"/>
        </w:rPr>
        <w:t xml:space="preserve">i minimum </w:t>
      </w:r>
      <w:r>
        <w:rPr>
          <w:rFonts w:asciiTheme="majorHAnsi" w:hAnsiTheme="majorHAnsi" w:cstheme="majorHAnsi"/>
          <w:sz w:val="20"/>
          <w:szCs w:val="20"/>
        </w:rPr>
        <w:t>7</w:t>
      </w:r>
      <w:r w:rsidR="003406A7" w:rsidRPr="003406A7">
        <w:rPr>
          <w:rFonts w:asciiTheme="majorHAnsi" w:hAnsiTheme="majorHAnsi" w:cstheme="majorHAnsi"/>
          <w:sz w:val="20"/>
          <w:szCs w:val="20"/>
        </w:rPr>
        <w:t>0.000,00 zł brutto polegającą na budowie lub przebudowie oświetlenia ulicznego</w:t>
      </w:r>
    </w:p>
    <w:p w14:paraId="06490568" w14:textId="6062D10B" w:rsidR="003D2F5F" w:rsidRDefault="006136A6" w:rsidP="003406A7">
      <w:pPr>
        <w:pStyle w:val="Akapitzlist"/>
        <w:keepNext/>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 xml:space="preserve">- </w:t>
      </w:r>
      <w:r w:rsidRPr="006136A6">
        <w:rPr>
          <w:rFonts w:asciiTheme="majorHAnsi" w:hAnsiTheme="majorHAnsi" w:cstheme="majorHAnsi"/>
          <w:sz w:val="20"/>
          <w:szCs w:val="20"/>
        </w:rPr>
        <w:t xml:space="preserve">o wartości minimum </w:t>
      </w:r>
      <w:r>
        <w:rPr>
          <w:rFonts w:asciiTheme="majorHAnsi" w:hAnsiTheme="majorHAnsi" w:cstheme="majorHAnsi"/>
          <w:sz w:val="20"/>
          <w:szCs w:val="20"/>
        </w:rPr>
        <w:t>3</w:t>
      </w:r>
      <w:r w:rsidRPr="006136A6">
        <w:rPr>
          <w:rFonts w:asciiTheme="majorHAnsi" w:hAnsiTheme="majorHAnsi" w:cstheme="majorHAnsi"/>
          <w:sz w:val="20"/>
          <w:szCs w:val="20"/>
        </w:rPr>
        <w:t>0.000,00 zł brutto polegającą na budowie lub przebudowie</w:t>
      </w:r>
      <w:r w:rsidR="003406A7" w:rsidRPr="003406A7">
        <w:rPr>
          <w:rFonts w:asciiTheme="majorHAnsi" w:hAnsiTheme="majorHAnsi" w:cstheme="majorHAnsi"/>
          <w:sz w:val="20"/>
          <w:szCs w:val="20"/>
        </w:rPr>
        <w:t xml:space="preserve"> systemu monitoringu wizyjnego.</w:t>
      </w:r>
    </w:p>
    <w:p w14:paraId="3A6122A6" w14:textId="77777777" w:rsidR="003D2F5F" w:rsidRDefault="003D2F5F" w:rsidP="003D2F5F">
      <w:pPr>
        <w:pStyle w:val="Akapitzlist"/>
        <w:keepNext/>
        <w:spacing w:after="40" w:line="276" w:lineRule="auto"/>
        <w:ind w:left="1134"/>
        <w:jc w:val="both"/>
        <w:rPr>
          <w:rFonts w:asciiTheme="majorHAnsi" w:hAnsiTheme="majorHAnsi" w:cstheme="majorHAnsi"/>
          <w:sz w:val="20"/>
          <w:szCs w:val="20"/>
        </w:rPr>
      </w:pPr>
      <w:r w:rsidRPr="00251B8E">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3B7B192A" w14:textId="77777777" w:rsidR="003D2F5F" w:rsidRDefault="003D2F5F" w:rsidP="003D2F5F">
      <w:pPr>
        <w:pStyle w:val="Akapitzlist"/>
        <w:keepNext/>
        <w:numPr>
          <w:ilvl w:val="2"/>
          <w:numId w:val="8"/>
        </w:numPr>
        <w:spacing w:after="40" w:line="276" w:lineRule="auto"/>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4BC207E0" w14:textId="5CD1DCE3" w:rsidR="003406A7" w:rsidRPr="003406A7" w:rsidRDefault="003406A7" w:rsidP="003406A7">
      <w:pPr>
        <w:tabs>
          <w:tab w:val="left" w:pos="1134"/>
        </w:tabs>
        <w:spacing w:after="40" w:line="276" w:lineRule="auto"/>
        <w:ind w:left="1134"/>
        <w:jc w:val="both"/>
        <w:rPr>
          <w:rFonts w:asciiTheme="majorHAnsi" w:hAnsiTheme="majorHAnsi" w:cstheme="majorHAnsi"/>
          <w:sz w:val="20"/>
          <w:szCs w:val="20"/>
        </w:rPr>
      </w:pPr>
      <w:r w:rsidRPr="003406A7">
        <w:rPr>
          <w:rFonts w:asciiTheme="majorHAnsi" w:hAnsiTheme="majorHAnsi" w:cstheme="majorHAnsi"/>
          <w:sz w:val="20"/>
          <w:szCs w:val="20"/>
        </w:rPr>
        <w:t>CZĘŚĆ 1 : Kierownik budowy posiadający uprawnienia budowlane do kierowania robotami budowlanymi w  specjalności inżynieryjnej drogowej</w:t>
      </w:r>
      <w:r>
        <w:rPr>
          <w:rFonts w:asciiTheme="majorHAnsi" w:hAnsiTheme="majorHAnsi" w:cstheme="majorHAnsi"/>
          <w:sz w:val="20"/>
          <w:szCs w:val="20"/>
        </w:rPr>
        <w:t>;</w:t>
      </w:r>
    </w:p>
    <w:p w14:paraId="6DB4F53D" w14:textId="0C4BA13A" w:rsidR="003406A7" w:rsidRPr="003406A7" w:rsidRDefault="003406A7" w:rsidP="003406A7">
      <w:pPr>
        <w:tabs>
          <w:tab w:val="left" w:pos="1134"/>
        </w:tabs>
        <w:spacing w:after="40" w:line="276" w:lineRule="auto"/>
        <w:ind w:left="1134"/>
        <w:jc w:val="both"/>
        <w:rPr>
          <w:rFonts w:asciiTheme="majorHAnsi" w:hAnsiTheme="majorHAnsi" w:cstheme="majorHAnsi"/>
          <w:sz w:val="20"/>
          <w:szCs w:val="20"/>
        </w:rPr>
      </w:pPr>
      <w:r w:rsidRPr="003406A7">
        <w:rPr>
          <w:rFonts w:asciiTheme="majorHAnsi" w:hAnsiTheme="majorHAnsi" w:cstheme="majorHAnsi"/>
          <w:sz w:val="20"/>
          <w:szCs w:val="20"/>
        </w:rPr>
        <w:t>CZĘŚĆ 2 : Kierownik budowy posiadający uprawnienia budowlane do kierowania robotami budowlanymi w  specjalności instalacyjnej w zakresie sieci, instalacji i urządzeń elektrycznych</w:t>
      </w:r>
      <w:r>
        <w:rPr>
          <w:rFonts w:asciiTheme="majorHAnsi" w:hAnsiTheme="majorHAnsi" w:cstheme="majorHAnsi"/>
          <w:sz w:val="20"/>
          <w:szCs w:val="20"/>
        </w:rPr>
        <w:t>.</w:t>
      </w:r>
    </w:p>
    <w:p w14:paraId="7C813872" w14:textId="3433066C" w:rsidR="003D2F5F" w:rsidRDefault="003406A7" w:rsidP="003406A7">
      <w:pPr>
        <w:tabs>
          <w:tab w:val="left" w:pos="1134"/>
        </w:tabs>
        <w:spacing w:after="40" w:line="276" w:lineRule="auto"/>
        <w:ind w:left="1134"/>
        <w:jc w:val="both"/>
        <w:rPr>
          <w:rFonts w:asciiTheme="majorHAnsi" w:hAnsiTheme="majorHAnsi" w:cstheme="majorHAnsi"/>
          <w:sz w:val="20"/>
          <w:szCs w:val="20"/>
        </w:rPr>
      </w:pPr>
      <w:r w:rsidRPr="003406A7">
        <w:rPr>
          <w:rFonts w:asciiTheme="majorHAnsi" w:hAnsiTheme="majorHAnsi" w:cstheme="majorHAnsi"/>
          <w:sz w:val="20"/>
          <w:szCs w:val="20"/>
        </w:rPr>
        <w:t>Przez uprawnienia budowlane, o których mowa powyżej Zamawiający rozumie uprawnienia, o których mowa w ustawie z dnia 7 lipca 1994 r. Prawo budowlane (tj. Dz. U. z 2019 r., poz. 1186 ze zm.) oraz w Rozporządzeniu Ministra Infrastruktury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lub zamierzający świadczyć usługi transgraniczne w rozumieniu przepisów tej ustawy oraz art. 20a ustawy z dnia 15 grudnia 2000 r. o samorządach zawodowych architektów, inżynierów budownictwa  (Dz. U. z 2019 r., poz. 1117).</w:t>
      </w:r>
    </w:p>
    <w:p w14:paraId="320789DB" w14:textId="142EB32E" w:rsidR="009B2BE1" w:rsidRPr="00E65B89" w:rsidRDefault="00523A86" w:rsidP="00DC1100">
      <w:pPr>
        <w:pStyle w:val="Akapitzlist"/>
        <w:numPr>
          <w:ilvl w:val="0"/>
          <w:numId w:val="42"/>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Wykonawc</w:t>
      </w:r>
      <w:r w:rsidR="009B2BE1" w:rsidRPr="00E65B89">
        <w:rPr>
          <w:rFonts w:asciiTheme="majorHAnsi" w:hAnsiTheme="majorHAnsi" w:cstheme="majorHAnsi"/>
          <w:b/>
          <w:iCs/>
          <w:sz w:val="20"/>
          <w:szCs w:val="20"/>
        </w:rPr>
        <w:t xml:space="preserve">a </w:t>
      </w:r>
      <w:r w:rsidR="009B2BE1" w:rsidRPr="00E65B89">
        <w:rPr>
          <w:rFonts w:asciiTheme="majorHAnsi" w:hAnsiTheme="majorHAnsi" w:cstheme="majorHAnsi"/>
          <w:b/>
          <w:sz w:val="20"/>
          <w:szCs w:val="20"/>
        </w:rPr>
        <w:t>może w celu potwierdzenia spełniania warunków, o których mowa w rozdz. V</w:t>
      </w:r>
      <w:r w:rsidR="00491F35" w:rsidRPr="00E65B89">
        <w:rPr>
          <w:rFonts w:asciiTheme="majorHAnsi" w:hAnsiTheme="majorHAnsi" w:cstheme="majorHAnsi"/>
          <w:b/>
          <w:sz w:val="20"/>
          <w:szCs w:val="20"/>
        </w:rPr>
        <w:t xml:space="preserve">. 1. </w:t>
      </w:r>
      <w:r w:rsidR="009B2BE1" w:rsidRPr="00E65B89">
        <w:rPr>
          <w:rFonts w:asciiTheme="majorHAnsi" w:hAnsiTheme="majorHAnsi" w:cstheme="majorHAnsi"/>
          <w:b/>
          <w:sz w:val="20"/>
          <w:szCs w:val="20"/>
        </w:rPr>
        <w:t>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320C6" w:rsidRPr="00E65B89">
        <w:rPr>
          <w:rFonts w:asciiTheme="majorHAnsi" w:hAnsiTheme="majorHAnsi" w:cstheme="majorHAnsi"/>
          <w:b/>
          <w:iCs/>
          <w:sz w:val="20"/>
          <w:szCs w:val="20"/>
        </w:rPr>
        <w:t>.</w:t>
      </w:r>
      <w:r w:rsidR="009B2BE1" w:rsidRPr="00E65B89">
        <w:rPr>
          <w:rFonts w:asciiTheme="majorHAnsi" w:hAnsiTheme="majorHAnsi" w:cstheme="majorHAnsi"/>
          <w:b/>
          <w:iCs/>
          <w:sz w:val="20"/>
          <w:szCs w:val="20"/>
        </w:rPr>
        <w:t xml:space="preserve"> </w:t>
      </w:r>
    </w:p>
    <w:p w14:paraId="0F5900AB" w14:textId="6134FDFD" w:rsidR="009B2BE1" w:rsidRPr="00E65B89" w:rsidRDefault="009B2BE1" w:rsidP="00DC1100">
      <w:pPr>
        <w:pStyle w:val="Akapitzlist"/>
        <w:numPr>
          <w:ilvl w:val="0"/>
          <w:numId w:val="42"/>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Zamawiający jednocześnie informuje, iż „stosowna sytuacja” o której mowa w </w:t>
      </w:r>
      <w:r w:rsidR="00491F35" w:rsidRPr="00E65B89">
        <w:rPr>
          <w:rFonts w:asciiTheme="majorHAnsi" w:hAnsiTheme="majorHAnsi" w:cstheme="majorHAnsi"/>
          <w:b/>
          <w:sz w:val="20"/>
          <w:szCs w:val="20"/>
        </w:rPr>
        <w:t xml:space="preserve">rozdz. V. </w:t>
      </w:r>
      <w:r w:rsidR="00111BF7" w:rsidRPr="00E65B89">
        <w:rPr>
          <w:rFonts w:asciiTheme="majorHAnsi" w:hAnsiTheme="majorHAnsi" w:cstheme="majorHAnsi"/>
          <w:b/>
          <w:sz w:val="20"/>
          <w:szCs w:val="20"/>
        </w:rPr>
        <w:t>2</w:t>
      </w:r>
      <w:r w:rsidR="00523A86" w:rsidRPr="00E65B89">
        <w:rPr>
          <w:rFonts w:asciiTheme="majorHAnsi" w:hAnsiTheme="majorHAnsi" w:cstheme="majorHAnsi"/>
          <w:b/>
          <w:sz w:val="20"/>
          <w:szCs w:val="20"/>
        </w:rPr>
        <w:t xml:space="preserve"> niniejszej SIWZ </w:t>
      </w:r>
      <w:r w:rsidRPr="00E65B89">
        <w:rPr>
          <w:rFonts w:asciiTheme="majorHAnsi" w:hAnsiTheme="majorHAnsi" w:cstheme="majorHAnsi"/>
          <w:b/>
          <w:sz w:val="20"/>
          <w:szCs w:val="20"/>
        </w:rPr>
        <w:t xml:space="preserve">wystąpi </w:t>
      </w:r>
      <w:r w:rsidR="00523A86" w:rsidRPr="00E65B89">
        <w:rPr>
          <w:rFonts w:asciiTheme="majorHAnsi" w:hAnsiTheme="majorHAnsi" w:cstheme="majorHAnsi"/>
          <w:b/>
          <w:sz w:val="20"/>
          <w:szCs w:val="20"/>
        </w:rPr>
        <w:t xml:space="preserve">wyłącznie </w:t>
      </w:r>
      <w:r w:rsidRPr="00E65B89">
        <w:rPr>
          <w:rFonts w:asciiTheme="majorHAnsi" w:hAnsiTheme="majorHAnsi" w:cstheme="majorHAnsi"/>
          <w:b/>
          <w:sz w:val="20"/>
          <w:szCs w:val="20"/>
        </w:rPr>
        <w:t>w przypadku kiedy</w:t>
      </w:r>
      <w:r w:rsidR="00523A86" w:rsidRPr="00E65B89">
        <w:rPr>
          <w:rFonts w:asciiTheme="majorHAnsi" w:hAnsiTheme="majorHAnsi" w:cstheme="majorHAnsi"/>
          <w:b/>
          <w:sz w:val="20"/>
          <w:szCs w:val="20"/>
        </w:rPr>
        <w:t>:</w:t>
      </w:r>
    </w:p>
    <w:p w14:paraId="70C85226" w14:textId="77777777" w:rsidR="009B2BE1" w:rsidRPr="00E65B89" w:rsidRDefault="009B2BE1" w:rsidP="00DC1100">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6A7EEA" w14:textId="2574B464" w:rsidR="00226C84" w:rsidRPr="00E65B89" w:rsidRDefault="009B2BE1" w:rsidP="00DC1100">
      <w:pPr>
        <w:pStyle w:val="Akapitzlist"/>
        <w:numPr>
          <w:ilvl w:val="0"/>
          <w:numId w:val="23"/>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w:t>
      </w:r>
      <w:r w:rsidR="00552FBA" w:rsidRPr="00E65B89">
        <w:rPr>
          <w:rFonts w:asciiTheme="majorHAnsi" w:hAnsiTheme="majorHAnsi" w:cstheme="majorHAnsi"/>
          <w:b/>
          <w:sz w:val="20"/>
          <w:szCs w:val="20"/>
        </w:rPr>
        <w:t>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77777777" w:rsidR="00DC1DF2" w:rsidRPr="00E65B89"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BEF093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DC1100">
      <w:pPr>
        <w:numPr>
          <w:ilvl w:val="0"/>
          <w:numId w:val="32"/>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7D9FB08A"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63184AD6"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0"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0"/>
    <w:p w14:paraId="42411AA9" w14:textId="0D65E0F2"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lastRenderedPageBreak/>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2F1343A9" w:rsidR="00421019" w:rsidRPr="00421019" w:rsidRDefault="00421019" w:rsidP="00421019">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Wszelkie zawiadomienia, oświadczenia, wnioski oraz informacje Zamawiający oraz Wykonawcy mogą przekazywać za pośrednictwem operatora pocztowego w rozumieniu ustawy z dnia 23 listopada 2012 r. – Prawo pocztowe (Dz.U. z 201</w:t>
      </w:r>
      <w:r w:rsidR="00F244F4">
        <w:rPr>
          <w:rFonts w:asciiTheme="majorHAnsi" w:hAnsiTheme="majorHAnsi" w:cstheme="majorHAnsi"/>
          <w:sz w:val="20"/>
          <w:szCs w:val="20"/>
        </w:rPr>
        <w:t>8</w:t>
      </w:r>
      <w:r w:rsidRPr="00421019">
        <w:rPr>
          <w:rFonts w:asciiTheme="majorHAnsi" w:hAnsiTheme="majorHAnsi" w:cstheme="majorHAnsi"/>
          <w:sz w:val="20"/>
          <w:szCs w:val="20"/>
        </w:rPr>
        <w:t xml:space="preserve"> r. poz. </w:t>
      </w:r>
      <w:r w:rsidR="00F244F4">
        <w:rPr>
          <w:rFonts w:asciiTheme="majorHAnsi" w:hAnsiTheme="majorHAnsi" w:cstheme="majorHAnsi"/>
          <w:sz w:val="20"/>
          <w:szCs w:val="20"/>
        </w:rPr>
        <w:t>2188 ze zm.</w:t>
      </w:r>
      <w:r w:rsidRPr="00421019">
        <w:rPr>
          <w:rFonts w:asciiTheme="majorHAnsi" w:hAnsiTheme="majorHAnsi" w:cstheme="majorHAnsi"/>
          <w:sz w:val="20"/>
          <w:szCs w:val="20"/>
        </w:rPr>
        <w:t>), osobiście, za pośrednictwem posłańca lub przy użyciu środków komunikacji elektronicznej 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drogą elektroniczną winny być kierowane na adres: </w:t>
      </w:r>
    </w:p>
    <w:p w14:paraId="712B5E9E" w14:textId="77777777" w:rsidR="001D4D5D" w:rsidRDefault="00853E34" w:rsidP="001D4D5D">
      <w:pPr>
        <w:keepNext/>
        <w:tabs>
          <w:tab w:val="left" w:pos="426"/>
        </w:tabs>
        <w:spacing w:after="40"/>
        <w:ind w:left="425"/>
        <w:jc w:val="both"/>
        <w:rPr>
          <w:rStyle w:val="Hipercze"/>
          <w:rFonts w:asciiTheme="majorHAnsi" w:hAnsiTheme="majorHAnsi" w:cstheme="majorHAnsi"/>
          <w:sz w:val="20"/>
          <w:szCs w:val="20"/>
        </w:rPr>
      </w:pPr>
      <w:hyperlink r:id="rId15"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27109D64"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DC1100">
      <w:pPr>
        <w:numPr>
          <w:ilvl w:val="0"/>
          <w:numId w:val="22"/>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DC1100">
      <w:pPr>
        <w:numPr>
          <w:ilvl w:val="0"/>
          <w:numId w:val="22"/>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53C772D9" w:rsidR="00552FBA"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58DCB4C" w14:textId="77777777" w:rsidR="00E1475A" w:rsidRPr="00E65B89" w:rsidRDefault="00E1475A" w:rsidP="002E374F">
      <w:pPr>
        <w:tabs>
          <w:tab w:val="left" w:pos="851"/>
        </w:tabs>
        <w:spacing w:after="40"/>
        <w:jc w:val="both"/>
        <w:rPr>
          <w:rFonts w:asciiTheme="majorHAnsi" w:hAnsiTheme="majorHAnsi" w:cstheme="majorHAnsi"/>
          <w:sz w:val="20"/>
          <w:szCs w:val="20"/>
        </w:rPr>
      </w:pP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20C3325F" w14:textId="77777777" w:rsidR="003406A7" w:rsidRDefault="002B58D9" w:rsidP="002B58D9">
      <w:pPr>
        <w:numPr>
          <w:ilvl w:val="3"/>
          <w:numId w:val="7"/>
        </w:numPr>
        <w:tabs>
          <w:tab w:val="clear" w:pos="2880"/>
          <w:tab w:val="num" w:pos="426"/>
        </w:tabs>
        <w:spacing w:after="40"/>
        <w:ind w:left="425" w:hanging="425"/>
        <w:jc w:val="both"/>
        <w:rPr>
          <w:rFonts w:asciiTheme="majorHAnsi" w:hAnsiTheme="majorHAnsi" w:cstheme="majorHAnsi"/>
          <w:bCs/>
          <w:sz w:val="20"/>
          <w:szCs w:val="20"/>
        </w:rPr>
      </w:pPr>
      <w:r w:rsidRPr="002B58D9">
        <w:rPr>
          <w:rFonts w:asciiTheme="majorHAnsi" w:hAnsiTheme="majorHAnsi" w:cstheme="majorHAnsi"/>
          <w:bCs/>
          <w:sz w:val="20"/>
          <w:szCs w:val="20"/>
        </w:rPr>
        <w:t>Wykonawca zobowiązany jest wnieść wadium w wysokości</w:t>
      </w:r>
      <w:r w:rsidR="003406A7">
        <w:rPr>
          <w:rFonts w:asciiTheme="majorHAnsi" w:hAnsiTheme="majorHAnsi" w:cstheme="majorHAnsi"/>
          <w:bCs/>
          <w:sz w:val="20"/>
          <w:szCs w:val="20"/>
        </w:rPr>
        <w:t>:</w:t>
      </w:r>
    </w:p>
    <w:p w14:paraId="34EF8B02" w14:textId="270EF9EF" w:rsidR="003406A7" w:rsidRDefault="003406A7" w:rsidP="003406A7">
      <w:pPr>
        <w:spacing w:after="40"/>
        <w:ind w:left="425"/>
        <w:jc w:val="both"/>
        <w:rPr>
          <w:rFonts w:asciiTheme="majorHAnsi" w:hAnsiTheme="majorHAnsi" w:cstheme="majorHAnsi"/>
          <w:bCs/>
          <w:sz w:val="20"/>
          <w:szCs w:val="20"/>
        </w:rPr>
      </w:pPr>
      <w:r>
        <w:rPr>
          <w:rFonts w:asciiTheme="majorHAnsi" w:hAnsiTheme="majorHAnsi" w:cstheme="majorHAnsi"/>
          <w:bCs/>
          <w:sz w:val="20"/>
          <w:szCs w:val="20"/>
        </w:rPr>
        <w:t xml:space="preserve">dla części 1 </w:t>
      </w:r>
      <w:r w:rsidR="00541887">
        <w:rPr>
          <w:rFonts w:asciiTheme="majorHAnsi" w:hAnsiTheme="majorHAnsi" w:cstheme="majorHAnsi"/>
          <w:bCs/>
          <w:sz w:val="20"/>
          <w:szCs w:val="20"/>
        </w:rPr>
        <w:t xml:space="preserve">- </w:t>
      </w:r>
      <w:r>
        <w:rPr>
          <w:rFonts w:asciiTheme="majorHAnsi" w:hAnsiTheme="majorHAnsi" w:cstheme="majorHAnsi"/>
          <w:bCs/>
          <w:sz w:val="20"/>
          <w:szCs w:val="20"/>
        </w:rPr>
        <w:t>nie jest wymagane</w:t>
      </w:r>
      <w:r w:rsidR="00DC1100">
        <w:rPr>
          <w:rFonts w:asciiTheme="majorHAnsi" w:hAnsiTheme="majorHAnsi" w:cstheme="majorHAnsi"/>
          <w:bCs/>
          <w:sz w:val="20"/>
          <w:szCs w:val="20"/>
        </w:rPr>
        <w:t>,</w:t>
      </w:r>
    </w:p>
    <w:p w14:paraId="7B3A82E5" w14:textId="4DE5E55C" w:rsidR="003406A7" w:rsidRDefault="003406A7" w:rsidP="003406A7">
      <w:pPr>
        <w:spacing w:after="40"/>
        <w:ind w:left="425"/>
        <w:jc w:val="both"/>
        <w:rPr>
          <w:rFonts w:asciiTheme="majorHAnsi" w:hAnsiTheme="majorHAnsi" w:cstheme="majorHAnsi"/>
          <w:bCs/>
          <w:sz w:val="20"/>
          <w:szCs w:val="20"/>
        </w:rPr>
      </w:pPr>
      <w:r>
        <w:rPr>
          <w:rFonts w:asciiTheme="majorHAnsi" w:hAnsiTheme="majorHAnsi" w:cstheme="majorHAnsi"/>
          <w:bCs/>
          <w:sz w:val="20"/>
          <w:szCs w:val="20"/>
        </w:rPr>
        <w:t>dla części 2 - 10 0</w:t>
      </w:r>
      <w:r w:rsidR="002B58D9" w:rsidRPr="002B58D9">
        <w:rPr>
          <w:rFonts w:asciiTheme="majorHAnsi" w:hAnsiTheme="majorHAnsi" w:cstheme="majorHAnsi"/>
          <w:bCs/>
          <w:sz w:val="20"/>
          <w:szCs w:val="20"/>
        </w:rPr>
        <w:t>00,00 PLN</w:t>
      </w:r>
      <w:r w:rsidR="00541887">
        <w:rPr>
          <w:rFonts w:asciiTheme="majorHAnsi" w:hAnsiTheme="majorHAnsi" w:cstheme="majorHAnsi"/>
          <w:bCs/>
          <w:sz w:val="20"/>
          <w:szCs w:val="20"/>
        </w:rPr>
        <w:t>,</w:t>
      </w:r>
    </w:p>
    <w:p w14:paraId="19B31222" w14:textId="5779EB08" w:rsidR="002B58D9" w:rsidRPr="002B58D9" w:rsidRDefault="002B58D9" w:rsidP="003406A7">
      <w:pPr>
        <w:spacing w:after="40"/>
        <w:ind w:left="425"/>
        <w:jc w:val="both"/>
        <w:rPr>
          <w:rFonts w:asciiTheme="majorHAnsi" w:hAnsiTheme="majorHAnsi" w:cstheme="majorHAnsi"/>
          <w:bCs/>
          <w:sz w:val="20"/>
          <w:szCs w:val="20"/>
        </w:rPr>
      </w:pPr>
      <w:r w:rsidRPr="002B58D9">
        <w:rPr>
          <w:rFonts w:asciiTheme="majorHAnsi" w:hAnsiTheme="majorHAnsi" w:cstheme="majorHAnsi"/>
          <w:bCs/>
          <w:sz w:val="20"/>
          <w:szCs w:val="20"/>
        </w:rPr>
        <w:t>przed upływem terminu składania ofert.</w:t>
      </w:r>
    </w:p>
    <w:p w14:paraId="05CB5DC6"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2.</w:t>
      </w:r>
      <w:r w:rsidRPr="002B58D9">
        <w:rPr>
          <w:rFonts w:asciiTheme="majorHAnsi" w:hAnsiTheme="majorHAnsi" w:cstheme="majorHAnsi"/>
          <w:bCs/>
          <w:sz w:val="20"/>
          <w:szCs w:val="20"/>
        </w:rPr>
        <w:tab/>
        <w:t xml:space="preserve">Wadium może być wniesione w jednej lub kilku z form określonych w art. 45 ust. 6 ustawy. </w:t>
      </w:r>
    </w:p>
    <w:p w14:paraId="5AD243DF" w14:textId="79041680" w:rsidR="0092487D"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3.</w:t>
      </w:r>
      <w:r w:rsidRPr="002B58D9">
        <w:rPr>
          <w:rFonts w:asciiTheme="majorHAnsi" w:hAnsiTheme="majorHAnsi" w:cstheme="majorHAnsi"/>
          <w:bCs/>
          <w:sz w:val="20"/>
          <w:szCs w:val="20"/>
        </w:rPr>
        <w:tab/>
        <w:t xml:space="preserve">Uwaga! Wadium wnoszone w poręczeniach, gwarancjach bankowych, gwarancjach ubezpieczeniowych lub poręczeniach udzielanych przez podmioty, o których mowa w art. 45 ust. 6 pkt 5) ustawy, należy zdeponować przed upływem terminu składania ofert </w:t>
      </w:r>
      <w:r w:rsidR="0092487D" w:rsidRPr="006777E1">
        <w:rPr>
          <w:rFonts w:asciiTheme="majorHAnsi" w:eastAsia="Arial Unicode MS" w:hAnsiTheme="majorHAnsi" w:cstheme="majorHAnsi"/>
          <w:sz w:val="20"/>
          <w:szCs w:val="20"/>
        </w:rPr>
        <w:t>w siedzibie Zamawiającego przy ul. Stefana Złotnickiego 12</w:t>
      </w:r>
      <w:r w:rsidR="0092487D">
        <w:rPr>
          <w:rFonts w:asciiTheme="majorHAnsi" w:eastAsia="Arial Unicode MS" w:hAnsiTheme="majorHAnsi" w:cstheme="majorHAnsi"/>
          <w:sz w:val="20"/>
          <w:szCs w:val="20"/>
        </w:rPr>
        <w:t>,</w:t>
      </w:r>
      <w:r w:rsidR="0092487D" w:rsidRPr="006777E1">
        <w:rPr>
          <w:rFonts w:asciiTheme="majorHAnsi" w:eastAsia="Arial Unicode MS" w:hAnsiTheme="majorHAnsi" w:cstheme="majorHAnsi"/>
          <w:sz w:val="20"/>
          <w:szCs w:val="20"/>
        </w:rPr>
        <w:t xml:space="preserve"> 98-220 Zduńska Wola przy wejściu do budynku nr 2 Urzędu Miasta (od strony kościoła) poprzez przekazanie jej dyżurującemu pracownikowi Urzędu Miasta Zduńska Wola, i</w:t>
      </w:r>
      <w:r w:rsidR="0092487D">
        <w:rPr>
          <w:rFonts w:asciiTheme="majorHAnsi" w:eastAsia="Arial Unicode MS" w:hAnsiTheme="majorHAnsi" w:cstheme="majorHAnsi"/>
          <w:sz w:val="20"/>
          <w:szCs w:val="20"/>
        </w:rPr>
        <w:t> </w:t>
      </w:r>
      <w:r w:rsidR="0092487D" w:rsidRPr="006777E1">
        <w:rPr>
          <w:rFonts w:asciiTheme="majorHAnsi" w:eastAsia="Arial Unicode MS" w:hAnsiTheme="majorHAnsi" w:cstheme="majorHAnsi"/>
          <w:sz w:val="20"/>
          <w:szCs w:val="20"/>
        </w:rPr>
        <w:t>zaadresować zgodnie z opisem przedstawionym w rozdziale X SIWZ. Godziny pracy Urzędu Miasta: w</w:t>
      </w:r>
      <w:r w:rsidR="0092487D">
        <w:rPr>
          <w:rFonts w:asciiTheme="majorHAnsi" w:eastAsia="Arial Unicode MS" w:hAnsiTheme="majorHAnsi" w:cstheme="majorHAnsi"/>
          <w:sz w:val="20"/>
          <w:szCs w:val="20"/>
        </w:rPr>
        <w:t> </w:t>
      </w:r>
      <w:r w:rsidR="0092487D" w:rsidRPr="006777E1">
        <w:rPr>
          <w:rFonts w:asciiTheme="majorHAnsi" w:eastAsia="Arial Unicode MS" w:hAnsiTheme="majorHAnsi" w:cstheme="majorHAnsi"/>
          <w:sz w:val="20"/>
          <w:szCs w:val="20"/>
        </w:rPr>
        <w:t xml:space="preserve">poniedziałki od godz. 7:30 do godz. 17:00 oraz od wtorku do piątku od godz. 7:30 do godz. 15:30. </w:t>
      </w:r>
    </w:p>
    <w:p w14:paraId="65D929FA" w14:textId="021A92D5"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572C4CBC"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4.</w:t>
      </w:r>
      <w:r w:rsidRPr="002B58D9">
        <w:rPr>
          <w:rFonts w:asciiTheme="majorHAnsi" w:hAnsiTheme="majorHAnsi" w:cstheme="majorHAnsi"/>
          <w:bCs/>
          <w:sz w:val="20"/>
          <w:szCs w:val="20"/>
        </w:rPr>
        <w:tab/>
        <w:t>Wadium wnoszone w pieniądzu należy wpłacić przelewem przed upływem terminu składania ofert na rachunek bankowy Zamawiającego:</w:t>
      </w:r>
    </w:p>
    <w:p w14:paraId="5988BE3C" w14:textId="2B330627" w:rsidR="002B58D9" w:rsidRPr="002B58D9" w:rsidRDefault="002B58D9" w:rsidP="002B58D9">
      <w:pPr>
        <w:tabs>
          <w:tab w:val="num" w:pos="480"/>
        </w:tabs>
        <w:spacing w:after="40"/>
        <w:jc w:val="center"/>
        <w:rPr>
          <w:rFonts w:asciiTheme="majorHAnsi" w:hAnsiTheme="majorHAnsi" w:cstheme="majorHAnsi"/>
          <w:bCs/>
          <w:sz w:val="20"/>
          <w:szCs w:val="20"/>
        </w:rPr>
      </w:pPr>
      <w:r w:rsidRPr="002B58D9">
        <w:rPr>
          <w:rFonts w:asciiTheme="majorHAnsi" w:hAnsiTheme="majorHAnsi" w:cstheme="majorHAnsi"/>
          <w:bCs/>
          <w:sz w:val="20"/>
          <w:szCs w:val="20"/>
        </w:rPr>
        <w:t>Ludowy Bank Spółdzielczy w Zduńskiej Woli</w:t>
      </w:r>
    </w:p>
    <w:p w14:paraId="6DF6D9E3" w14:textId="77777777" w:rsidR="002B58D9" w:rsidRPr="002B58D9" w:rsidRDefault="002B58D9" w:rsidP="002B58D9">
      <w:pPr>
        <w:tabs>
          <w:tab w:val="num" w:pos="480"/>
        </w:tabs>
        <w:spacing w:after="40"/>
        <w:jc w:val="center"/>
        <w:rPr>
          <w:rFonts w:asciiTheme="majorHAnsi" w:hAnsiTheme="majorHAnsi" w:cstheme="majorHAnsi"/>
          <w:bCs/>
          <w:sz w:val="20"/>
          <w:szCs w:val="20"/>
        </w:rPr>
      </w:pPr>
      <w:r w:rsidRPr="002B58D9">
        <w:rPr>
          <w:rFonts w:asciiTheme="majorHAnsi" w:hAnsiTheme="majorHAnsi" w:cstheme="majorHAnsi"/>
          <w:bCs/>
          <w:sz w:val="20"/>
          <w:szCs w:val="20"/>
        </w:rPr>
        <w:t>Nr konta 81 9279 0007 0071 1166 2000 0120.</w:t>
      </w:r>
    </w:p>
    <w:p w14:paraId="3211CE5B"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5.</w:t>
      </w:r>
      <w:r w:rsidRPr="002B58D9">
        <w:rPr>
          <w:rFonts w:asciiTheme="majorHAnsi" w:hAnsiTheme="majorHAnsi" w:cstheme="majorHAnsi"/>
          <w:bCs/>
          <w:sz w:val="20"/>
          <w:szCs w:val="20"/>
        </w:rPr>
        <w:tab/>
        <w:t>Zamawiający dokona zwrotu wadium, zgodnie z warunkami określonymi w art. 46 ustawy.</w:t>
      </w:r>
    </w:p>
    <w:p w14:paraId="70263A52"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6.</w:t>
      </w:r>
      <w:r w:rsidRPr="002B58D9">
        <w:rPr>
          <w:rFonts w:asciiTheme="majorHAnsi" w:hAnsiTheme="majorHAnsi" w:cstheme="majorHAnsi"/>
          <w:bCs/>
          <w:sz w:val="20"/>
          <w:szCs w:val="20"/>
        </w:rPr>
        <w:tab/>
        <w:t>Wykonawca zobowiązany jest wnieść wadium na cały okres związania oferta, określony w rozdziale IX SIWZ.</w:t>
      </w:r>
    </w:p>
    <w:p w14:paraId="05983DA6" w14:textId="77777777" w:rsidR="002B58D9"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lastRenderedPageBreak/>
        <w:t>7.</w:t>
      </w:r>
      <w:r w:rsidRPr="002B58D9">
        <w:rPr>
          <w:rFonts w:asciiTheme="majorHAnsi" w:hAnsiTheme="majorHAnsi" w:cstheme="majorHAnsi"/>
          <w:bCs/>
          <w:sz w:val="20"/>
          <w:szCs w:val="20"/>
        </w:rPr>
        <w:tab/>
        <w:t>Zamawiający zatrzymuje wadium zgodnie z warunkami określonymi w art. 46 ustawy.</w:t>
      </w:r>
    </w:p>
    <w:p w14:paraId="4ADE7D2A" w14:textId="3C81C579" w:rsidR="005B6357" w:rsidRPr="002B58D9" w:rsidRDefault="002B58D9" w:rsidP="002B58D9">
      <w:pPr>
        <w:tabs>
          <w:tab w:val="num" w:pos="480"/>
        </w:tabs>
        <w:spacing w:after="40"/>
        <w:jc w:val="both"/>
        <w:rPr>
          <w:rFonts w:asciiTheme="majorHAnsi" w:hAnsiTheme="majorHAnsi" w:cstheme="majorHAnsi"/>
          <w:bCs/>
          <w:sz w:val="20"/>
          <w:szCs w:val="20"/>
        </w:rPr>
      </w:pPr>
      <w:r w:rsidRPr="002B58D9">
        <w:rPr>
          <w:rFonts w:asciiTheme="majorHAnsi" w:hAnsiTheme="majorHAnsi" w:cstheme="majorHAnsi"/>
          <w:bCs/>
          <w:sz w:val="20"/>
          <w:szCs w:val="20"/>
        </w:rPr>
        <w:t>8.</w:t>
      </w:r>
      <w:r w:rsidRPr="002B58D9">
        <w:rPr>
          <w:rFonts w:asciiTheme="majorHAnsi" w:hAnsiTheme="majorHAnsi" w:cstheme="majorHAnsi"/>
          <w:bCs/>
          <w:sz w:val="20"/>
          <w:szCs w:val="20"/>
        </w:rPr>
        <w:tab/>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5D6870F7" w14:textId="77777777" w:rsidR="002B58D9" w:rsidRPr="00E65B89" w:rsidRDefault="002B58D9"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DC1100">
      <w:pPr>
        <w:keepNext/>
        <w:numPr>
          <w:ilvl w:val="2"/>
          <w:numId w:val="18"/>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DC1100">
      <w:pPr>
        <w:numPr>
          <w:ilvl w:val="2"/>
          <w:numId w:val="18"/>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10490" w:type="dxa"/>
        <w:tblLook w:val="04A0" w:firstRow="1" w:lastRow="0" w:firstColumn="1" w:lastColumn="0" w:noHBand="0" w:noVBand="1"/>
      </w:tblPr>
      <w:tblGrid>
        <w:gridCol w:w="10490"/>
      </w:tblGrid>
      <w:tr w:rsidR="003D2F5F" w:rsidRPr="00E65B89" w14:paraId="1155BF84" w14:textId="77777777" w:rsidTr="00DC1100">
        <w:tc>
          <w:tcPr>
            <w:tcW w:w="10490" w:type="dxa"/>
          </w:tcPr>
          <w:p w14:paraId="234B0D9B" w14:textId="63B89D8E" w:rsidR="003D2F5F" w:rsidRPr="003D2F5F" w:rsidRDefault="003D2F5F" w:rsidP="003D2F5F">
            <w:pPr>
              <w:spacing w:after="40"/>
              <w:jc w:val="center"/>
              <w:rPr>
                <w:rFonts w:asciiTheme="majorHAnsi" w:hAnsiTheme="majorHAnsi" w:cstheme="majorHAnsi"/>
                <w:b/>
                <w:bCs/>
                <w:sz w:val="20"/>
                <w:szCs w:val="20"/>
              </w:rPr>
            </w:pPr>
            <w:r w:rsidRPr="003D2F5F">
              <w:rPr>
                <w:rFonts w:asciiTheme="majorHAnsi" w:hAnsiTheme="majorHAnsi" w:cstheme="majorHAnsi"/>
                <w:b/>
                <w:bCs/>
                <w:sz w:val="20"/>
                <w:szCs w:val="20"/>
              </w:rPr>
              <w:t>„</w:t>
            </w:r>
            <w:r w:rsidR="00B01BA4" w:rsidRPr="00B01BA4">
              <w:rPr>
                <w:rFonts w:asciiTheme="majorHAnsi" w:hAnsiTheme="majorHAnsi" w:cstheme="majorHAnsi"/>
                <w:b/>
                <w:bCs/>
                <w:sz w:val="20"/>
                <w:szCs w:val="20"/>
              </w:rPr>
              <w:t>Zagospodarowanie terenu wokół zbiornika Kępina</w:t>
            </w:r>
            <w:r w:rsidRPr="003D2F5F">
              <w:rPr>
                <w:rFonts w:asciiTheme="majorHAnsi" w:hAnsiTheme="majorHAnsi" w:cstheme="majorHAnsi"/>
                <w:b/>
                <w:bCs/>
                <w:sz w:val="20"/>
                <w:szCs w:val="20"/>
              </w:rPr>
              <w:t>”</w:t>
            </w:r>
          </w:p>
        </w:tc>
      </w:tr>
      <w:tr w:rsidR="003D2F5F" w:rsidRPr="00E65B89" w14:paraId="31F2659C" w14:textId="77777777" w:rsidTr="00DC1100">
        <w:tc>
          <w:tcPr>
            <w:tcW w:w="10490" w:type="dxa"/>
          </w:tcPr>
          <w:p w14:paraId="21A0D404" w14:textId="2F78B444" w:rsidR="003D2F5F" w:rsidRPr="003D2F5F" w:rsidRDefault="003D2F5F" w:rsidP="003D2F5F">
            <w:pPr>
              <w:spacing w:after="40"/>
              <w:jc w:val="center"/>
              <w:rPr>
                <w:rFonts w:asciiTheme="majorHAnsi" w:hAnsiTheme="majorHAnsi" w:cstheme="majorHAnsi"/>
                <w:b/>
                <w:bCs/>
                <w:sz w:val="20"/>
                <w:szCs w:val="20"/>
              </w:rPr>
            </w:pPr>
            <w:r w:rsidRPr="003D2F5F">
              <w:rPr>
                <w:rFonts w:asciiTheme="majorHAnsi" w:hAnsiTheme="majorHAnsi" w:cstheme="majorHAnsi"/>
                <w:b/>
                <w:bCs/>
                <w:sz w:val="20"/>
                <w:szCs w:val="20"/>
              </w:rPr>
              <w:t xml:space="preserve">nr sprawy: </w:t>
            </w:r>
            <w:r w:rsidR="00B01BA4" w:rsidRPr="00B01BA4">
              <w:rPr>
                <w:rFonts w:asciiTheme="majorHAnsi" w:hAnsiTheme="majorHAnsi" w:cstheme="majorHAnsi"/>
                <w:b/>
                <w:bCs/>
                <w:sz w:val="20"/>
                <w:szCs w:val="20"/>
              </w:rPr>
              <w:t>IM.271.37.2020.WNK</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5C730996"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064F98" w:rsidRPr="00E65B89">
        <w:rPr>
          <w:rFonts w:asciiTheme="majorHAnsi" w:hAnsiTheme="majorHAnsi" w:cstheme="majorHAnsi"/>
          <w:bCs/>
          <w:sz w:val="20"/>
          <w:szCs w:val="20"/>
        </w:rPr>
        <w:t>(Dz.U. z 2018 r. poz. 419</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w:t>
      </w:r>
      <w:r w:rsidRPr="00E65B89">
        <w:rPr>
          <w:rFonts w:asciiTheme="majorHAnsi" w:hAnsiTheme="majorHAnsi" w:cstheme="majorHAnsi"/>
          <w:sz w:val="20"/>
          <w:szCs w:val="20"/>
        </w:rPr>
        <w:lastRenderedPageBreak/>
        <w:t>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397487D5" w14:textId="672CBEB5" w:rsidR="00D329E6" w:rsidRPr="00E65B89" w:rsidRDefault="006777E1" w:rsidP="004C3342">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6777E1">
        <w:rPr>
          <w:rFonts w:asciiTheme="majorHAnsi" w:eastAsia="Arial Unicode MS" w:hAnsiTheme="majorHAnsi" w:cstheme="majorHAnsi"/>
          <w:sz w:val="20"/>
          <w:szCs w:val="20"/>
        </w:rPr>
        <w:t>Ofertę należy złożyć w siedzibie Zamawiającego przy ul. Stefana Złotnickiego 12</w:t>
      </w:r>
      <w:r w:rsidR="00245302">
        <w:rPr>
          <w:rFonts w:asciiTheme="majorHAnsi" w:eastAsia="Arial Unicode MS" w:hAnsiTheme="majorHAnsi" w:cstheme="majorHAnsi"/>
          <w:sz w:val="20"/>
          <w:szCs w:val="20"/>
        </w:rPr>
        <w:t>,</w:t>
      </w:r>
      <w:r w:rsidRPr="006777E1">
        <w:rPr>
          <w:rFonts w:asciiTheme="majorHAnsi" w:eastAsia="Arial Unicode MS" w:hAnsiTheme="majorHAnsi" w:cstheme="majorHAnsi"/>
          <w:sz w:val="20"/>
          <w:szCs w:val="20"/>
        </w:rPr>
        <w:t xml:space="preserve"> 98-220 Zduńska Wola </w:t>
      </w:r>
      <w:r w:rsidR="00853E34">
        <w:rPr>
          <w:rFonts w:asciiTheme="majorHAnsi" w:eastAsia="Arial Unicode MS" w:hAnsiTheme="majorHAnsi" w:cstheme="majorHAnsi"/>
          <w:sz w:val="20"/>
          <w:szCs w:val="20"/>
        </w:rPr>
        <w:t xml:space="preserve">w Kancelarii </w:t>
      </w:r>
      <w:r w:rsidRPr="006777E1">
        <w:rPr>
          <w:rFonts w:asciiTheme="majorHAnsi" w:eastAsia="Arial Unicode MS" w:hAnsiTheme="majorHAnsi" w:cstheme="majorHAnsi"/>
          <w:sz w:val="20"/>
          <w:szCs w:val="20"/>
        </w:rPr>
        <w:t xml:space="preserve">poprzez przekazanie jej pracownikowi Urzędu Miasta Zduńska Wola, do dnia </w:t>
      </w:r>
      <w:r w:rsidR="00DC1100">
        <w:rPr>
          <w:rFonts w:asciiTheme="majorHAnsi" w:eastAsia="Arial Unicode MS" w:hAnsiTheme="majorHAnsi" w:cstheme="majorHAnsi"/>
          <w:b/>
          <w:bCs/>
          <w:sz w:val="20"/>
          <w:szCs w:val="20"/>
        </w:rPr>
        <w:t>31</w:t>
      </w:r>
      <w:r w:rsidRPr="006777E1">
        <w:rPr>
          <w:rFonts w:asciiTheme="majorHAnsi" w:eastAsia="Arial Unicode MS" w:hAnsiTheme="majorHAnsi" w:cstheme="majorHAnsi"/>
          <w:b/>
          <w:bCs/>
          <w:sz w:val="20"/>
          <w:szCs w:val="20"/>
        </w:rPr>
        <w:t>.0</w:t>
      </w:r>
      <w:r w:rsidR="003D2F5F">
        <w:rPr>
          <w:rFonts w:asciiTheme="majorHAnsi" w:eastAsia="Arial Unicode MS" w:hAnsiTheme="majorHAnsi" w:cstheme="majorHAnsi"/>
          <w:b/>
          <w:bCs/>
          <w:sz w:val="20"/>
          <w:szCs w:val="20"/>
        </w:rPr>
        <w:t>7</w:t>
      </w:r>
      <w:r w:rsidRPr="006777E1">
        <w:rPr>
          <w:rFonts w:asciiTheme="majorHAnsi" w:eastAsia="Arial Unicode MS" w:hAnsiTheme="majorHAnsi" w:cstheme="majorHAnsi"/>
          <w:b/>
          <w:bCs/>
          <w:sz w:val="20"/>
          <w:szCs w:val="20"/>
        </w:rPr>
        <w:t>.2020 r., do godziny 10:00</w:t>
      </w:r>
      <w:r w:rsidRPr="006777E1">
        <w:rPr>
          <w:rFonts w:asciiTheme="majorHAnsi" w:eastAsia="Arial Unicode MS" w:hAnsiTheme="majorHAnsi" w:cstheme="majorHAnsi"/>
          <w:sz w:val="20"/>
          <w:szCs w:val="20"/>
        </w:rPr>
        <w:t xml:space="preserve"> i zaadresować zgodnie z opisem przedstawionym w rozdziale X SIWZ. Godziny pracy Urzędu Miasta: w poniedziałki od godz. 7:30 do godz. 17:00 oraz od wtorku do piątku od godz. 7:30 do godz. 15:30. </w:t>
      </w:r>
    </w:p>
    <w:p w14:paraId="06B410E6" w14:textId="77777777" w:rsidR="0045589E"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Decydujące znaczenie dla oceny zachowania terminu składania ofert ma data i godzina wpływu oferty do Zamawiającego, a nie data jej wysłania przesyłką pocztową czy kurierską.</w:t>
      </w:r>
      <w:r w:rsidR="0045589E" w:rsidRPr="00E65B89">
        <w:rPr>
          <w:rFonts w:asciiTheme="majorHAnsi" w:eastAsia="Arial Unicode MS" w:hAnsiTheme="majorHAnsi" w:cstheme="majorHAnsi"/>
          <w:sz w:val="20"/>
          <w:szCs w:val="20"/>
        </w:rPr>
        <w:t xml:space="preserve"> </w:t>
      </w:r>
    </w:p>
    <w:p w14:paraId="5C6D2426" w14:textId="69FC5AA8" w:rsidR="00552FBA" w:rsidRPr="00E65B89" w:rsidRDefault="0045589E"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w:t>
      </w:r>
      <w:r w:rsidR="00E23EB0" w:rsidRPr="00E65B89">
        <w:rPr>
          <w:rFonts w:asciiTheme="majorHAnsi" w:eastAsia="Arial Unicode MS" w:hAnsiTheme="majorHAnsi" w:cstheme="majorHAnsi"/>
          <w:sz w:val="20"/>
          <w:szCs w:val="20"/>
        </w:rPr>
        <w:t xml:space="preserve"> XI. 1 niniejszej SIWZ zostan</w:t>
      </w:r>
      <w:r w:rsidR="000C6CE4" w:rsidRPr="00E65B89">
        <w:rPr>
          <w:rFonts w:asciiTheme="majorHAnsi" w:eastAsia="Arial Unicode MS" w:hAnsiTheme="majorHAnsi" w:cstheme="majorHAnsi"/>
          <w:sz w:val="20"/>
          <w:szCs w:val="20"/>
        </w:rPr>
        <w:t>ie zwrócona wykonawcy zgodnie z </w:t>
      </w:r>
      <w:r w:rsidR="00E23EB0" w:rsidRPr="00E65B89">
        <w:rPr>
          <w:rFonts w:asciiTheme="majorHAnsi" w:eastAsia="Arial Unicode MS" w:hAnsiTheme="majorHAnsi" w:cstheme="majorHAnsi"/>
          <w:sz w:val="20"/>
          <w:szCs w:val="20"/>
        </w:rPr>
        <w:t xml:space="preserve">zasadami określonymi w art. 84 ust. 2 </w:t>
      </w:r>
      <w:r w:rsidRPr="00E65B89">
        <w:rPr>
          <w:rFonts w:asciiTheme="majorHAnsi" w:eastAsia="Arial Unicode MS" w:hAnsiTheme="majorHAnsi" w:cstheme="majorHAnsi"/>
          <w:sz w:val="20"/>
          <w:szCs w:val="20"/>
        </w:rPr>
        <w:t>ustawy PZP.</w:t>
      </w:r>
    </w:p>
    <w:p w14:paraId="363BC6E9" w14:textId="5B0B621F" w:rsidR="00552FBA"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Otwarcie ofert nastąpi w siedzibie Zamawiającego – </w:t>
      </w:r>
      <w:r w:rsidR="0092487D">
        <w:rPr>
          <w:rFonts w:asciiTheme="majorHAnsi" w:hAnsiTheme="majorHAnsi" w:cstheme="majorHAnsi"/>
          <w:sz w:val="20"/>
          <w:szCs w:val="20"/>
        </w:rPr>
        <w:t xml:space="preserve">(Budynek nr 5 </w:t>
      </w:r>
      <w:r w:rsidR="00B559CF">
        <w:rPr>
          <w:rFonts w:asciiTheme="majorHAnsi" w:hAnsiTheme="majorHAnsi" w:cstheme="majorHAnsi"/>
          <w:sz w:val="20"/>
          <w:szCs w:val="20"/>
        </w:rPr>
        <w:t xml:space="preserve">pokój nr </w:t>
      </w:r>
      <w:r w:rsidR="0092487D">
        <w:rPr>
          <w:rFonts w:asciiTheme="majorHAnsi" w:hAnsiTheme="majorHAnsi" w:cstheme="majorHAnsi"/>
          <w:sz w:val="20"/>
          <w:szCs w:val="20"/>
        </w:rPr>
        <w:t>503)</w:t>
      </w:r>
      <w:r w:rsidRPr="00E65B89">
        <w:rPr>
          <w:rFonts w:asciiTheme="majorHAnsi" w:hAnsiTheme="majorHAnsi" w:cstheme="majorHAnsi"/>
          <w:sz w:val="20"/>
          <w:szCs w:val="20"/>
        </w:rPr>
        <w:t xml:space="preserve">, w dniu </w:t>
      </w:r>
      <w:r w:rsidR="00DC1100" w:rsidRPr="00DC1100">
        <w:rPr>
          <w:rFonts w:asciiTheme="majorHAnsi" w:hAnsiTheme="majorHAnsi" w:cstheme="majorHAnsi"/>
          <w:b/>
          <w:bCs/>
          <w:sz w:val="20"/>
          <w:szCs w:val="20"/>
        </w:rPr>
        <w:t>31</w:t>
      </w:r>
      <w:r w:rsidR="000E693E" w:rsidRPr="00DC1100">
        <w:rPr>
          <w:rFonts w:asciiTheme="majorHAnsi" w:hAnsiTheme="majorHAnsi" w:cstheme="majorHAnsi"/>
          <w:b/>
          <w:bCs/>
          <w:sz w:val="20"/>
          <w:szCs w:val="20"/>
        </w:rPr>
        <w:t>.</w:t>
      </w:r>
      <w:r w:rsidR="00582FA4" w:rsidRPr="00DC1100">
        <w:rPr>
          <w:rFonts w:asciiTheme="majorHAnsi" w:hAnsiTheme="majorHAnsi" w:cstheme="majorHAnsi"/>
          <w:b/>
          <w:bCs/>
          <w:sz w:val="20"/>
          <w:szCs w:val="20"/>
        </w:rPr>
        <w:t>0</w:t>
      </w:r>
      <w:r w:rsidR="003D2F5F" w:rsidRPr="00DC1100">
        <w:rPr>
          <w:rFonts w:asciiTheme="majorHAnsi" w:hAnsiTheme="majorHAnsi" w:cstheme="majorHAnsi"/>
          <w:b/>
          <w:bCs/>
          <w:sz w:val="20"/>
          <w:szCs w:val="20"/>
        </w:rPr>
        <w:t>7</w:t>
      </w:r>
      <w:r w:rsidR="00C602F5" w:rsidRPr="00DC1100">
        <w:rPr>
          <w:rFonts w:asciiTheme="majorHAnsi" w:hAnsiTheme="majorHAnsi" w:cstheme="majorHAnsi"/>
          <w:b/>
          <w:bCs/>
          <w:sz w:val="20"/>
          <w:szCs w:val="20"/>
        </w:rPr>
        <w:t>.20</w:t>
      </w:r>
      <w:r w:rsidR="001F659B" w:rsidRPr="00DC1100">
        <w:rPr>
          <w:rFonts w:asciiTheme="majorHAnsi" w:hAnsiTheme="majorHAnsi" w:cstheme="majorHAnsi"/>
          <w:b/>
          <w:bCs/>
          <w:sz w:val="20"/>
          <w:szCs w:val="20"/>
        </w:rPr>
        <w:t>20</w:t>
      </w:r>
      <w:r w:rsidR="00C602F5" w:rsidRPr="00E65B89">
        <w:rPr>
          <w:rFonts w:asciiTheme="majorHAnsi" w:hAnsiTheme="majorHAnsi" w:cstheme="majorHAnsi"/>
          <w:b/>
          <w:sz w:val="20"/>
          <w:szCs w:val="20"/>
        </w:rPr>
        <w:t xml:space="preserve"> r.</w:t>
      </w:r>
      <w:r w:rsidRPr="00E65B89">
        <w:rPr>
          <w:rFonts w:asciiTheme="majorHAnsi" w:hAnsiTheme="majorHAnsi" w:cstheme="majorHAnsi"/>
          <w:b/>
          <w:sz w:val="20"/>
          <w:szCs w:val="20"/>
        </w:rPr>
        <w:t xml:space="preserve">, o godzinie </w:t>
      </w:r>
      <w:r w:rsidR="00421019">
        <w:rPr>
          <w:rFonts w:asciiTheme="majorHAnsi" w:hAnsiTheme="majorHAnsi" w:cstheme="majorHAnsi"/>
          <w:b/>
          <w:sz w:val="20"/>
          <w:szCs w:val="20"/>
        </w:rPr>
        <w:t>1</w:t>
      </w:r>
      <w:r w:rsidR="00245302">
        <w:rPr>
          <w:rFonts w:asciiTheme="majorHAnsi" w:hAnsiTheme="majorHAnsi" w:cstheme="majorHAnsi"/>
          <w:b/>
          <w:sz w:val="20"/>
          <w:szCs w:val="20"/>
        </w:rPr>
        <w:t>0</w:t>
      </w:r>
      <w:r w:rsidR="00C602F5" w:rsidRPr="00E65B89">
        <w:rPr>
          <w:rFonts w:asciiTheme="majorHAnsi" w:hAnsiTheme="majorHAnsi" w:cstheme="majorHAnsi"/>
          <w:b/>
          <w:sz w:val="20"/>
          <w:szCs w:val="20"/>
        </w:rPr>
        <w:t>:</w:t>
      </w:r>
      <w:r w:rsidR="003D2F5F">
        <w:rPr>
          <w:rFonts w:asciiTheme="majorHAnsi" w:hAnsiTheme="majorHAnsi" w:cstheme="majorHAnsi"/>
          <w:b/>
          <w:sz w:val="20"/>
          <w:szCs w:val="20"/>
        </w:rPr>
        <w:t>30</w:t>
      </w:r>
      <w:r w:rsidRPr="00E65B89">
        <w:rPr>
          <w:rFonts w:asciiTheme="majorHAnsi" w:hAnsiTheme="majorHAnsi" w:cstheme="majorHAnsi"/>
          <w:sz w:val="20"/>
          <w:szCs w:val="20"/>
        </w:rPr>
        <w:t>.</w:t>
      </w:r>
    </w:p>
    <w:p w14:paraId="2E4AB2DC" w14:textId="369305A7" w:rsidR="00552FBA" w:rsidRPr="00E65B89" w:rsidRDefault="0045589E"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r w:rsidR="00552FBA" w:rsidRPr="00E65B89">
        <w:rPr>
          <w:rFonts w:asciiTheme="majorHAnsi" w:hAnsiTheme="majorHAnsi" w:cstheme="majorHAnsi"/>
          <w:sz w:val="20"/>
          <w:szCs w:val="20"/>
        </w:rPr>
        <w:t>.</w:t>
      </w:r>
    </w:p>
    <w:p w14:paraId="02BC7013" w14:textId="77777777" w:rsidR="00552FBA" w:rsidRPr="00E65B89" w:rsidRDefault="00552FBA" w:rsidP="00DE054A">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1DCE198A" w14:textId="4C47C6E6" w:rsidR="00986359" w:rsidRPr="00E65B89" w:rsidRDefault="00986359" w:rsidP="00986359">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sidR="001D4D5D">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1D057409" w14:textId="77777777" w:rsidR="00BA6124" w:rsidRPr="00E65B89" w:rsidRDefault="00BA6124"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8237B2E" w14:textId="5418C832" w:rsidR="006E3805" w:rsidRPr="00E65B89" w:rsidRDefault="006E3805" w:rsidP="006E3805">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określa cenę realizacji zamówienia poprzez wskazanie w Formularzu ofertowym sporządzonym wg wzoru stanowiącego </w:t>
      </w:r>
      <w:r w:rsidRPr="00E65B89">
        <w:rPr>
          <w:rFonts w:asciiTheme="majorHAnsi" w:hAnsiTheme="majorHAnsi" w:cstheme="majorHAnsi"/>
          <w:b/>
          <w:sz w:val="20"/>
          <w:szCs w:val="20"/>
        </w:rPr>
        <w:t>Załączniki nr 1 do SIWZ</w:t>
      </w:r>
      <w:r w:rsidRPr="00E65B89">
        <w:rPr>
          <w:rFonts w:asciiTheme="majorHAnsi" w:hAnsiTheme="majorHAnsi" w:cstheme="majorHAnsi"/>
          <w:sz w:val="20"/>
          <w:szCs w:val="20"/>
        </w:rPr>
        <w:t xml:space="preserve"> łącznej ceny ofertowej brutto za r</w:t>
      </w:r>
      <w:r w:rsidR="00470228" w:rsidRPr="00E65B89">
        <w:rPr>
          <w:rFonts w:asciiTheme="majorHAnsi" w:hAnsiTheme="majorHAnsi" w:cstheme="majorHAnsi"/>
          <w:sz w:val="20"/>
          <w:szCs w:val="20"/>
        </w:rPr>
        <w:t>ealizację przedmiotu zamówie</w:t>
      </w:r>
      <w:r w:rsidR="00C96EC2" w:rsidRPr="00E65B89">
        <w:rPr>
          <w:rFonts w:asciiTheme="majorHAnsi" w:hAnsiTheme="majorHAnsi" w:cstheme="majorHAnsi"/>
          <w:sz w:val="20"/>
          <w:szCs w:val="20"/>
        </w:rPr>
        <w:t>nia.</w:t>
      </w:r>
    </w:p>
    <w:p w14:paraId="3BE2DB84" w14:textId="7DB80474" w:rsidR="00DD063A" w:rsidRPr="00E65B89" w:rsidRDefault="00DD063A" w:rsidP="006E3805">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Cenę oferty należy podać w formie ryczałtu.</w:t>
      </w:r>
      <w:r w:rsidR="003D5D2A" w:rsidRPr="00E65B89">
        <w:rPr>
          <w:rFonts w:asciiTheme="majorHAnsi" w:hAnsiTheme="majorHAnsi" w:cstheme="majorHAnsi"/>
          <w:sz w:val="20"/>
          <w:szCs w:val="20"/>
        </w:rPr>
        <w:t xml:space="preserve"> Cenę oferty należy wpisać cyfrowo do załącznika nr 1 do SIWZ formularz-oferta. Cena ta będzie brana pod uwagę przez komisję przetargową w trakcie w</w:t>
      </w:r>
      <w:r w:rsidR="006E3805" w:rsidRPr="00E65B89">
        <w:rPr>
          <w:rFonts w:asciiTheme="majorHAnsi" w:hAnsiTheme="majorHAnsi" w:cstheme="majorHAnsi"/>
          <w:sz w:val="20"/>
          <w:szCs w:val="20"/>
        </w:rPr>
        <w:t>yboru najkorzystniejszej oferty.</w:t>
      </w:r>
    </w:p>
    <w:p w14:paraId="189DBCD1" w14:textId="77777777" w:rsidR="005A417D" w:rsidRPr="00E65B89" w:rsidRDefault="00F563A2" w:rsidP="00F563A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Cena podana w ofercie musi obejmować wszystkie koszty i składniki związane z wykonaniem zamówienia. </w:t>
      </w:r>
    </w:p>
    <w:p w14:paraId="3A290EBD" w14:textId="5005C1B5" w:rsidR="00DD063A" w:rsidRPr="00E65B89" w:rsidRDefault="00DD063A" w:rsidP="008A19BC">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Wykonawca przed przystąpieniem do wyceny wyszczególnionych w przedmiocie zamówienia robót dokonał wizji lokalnej w terenie.</w:t>
      </w:r>
    </w:p>
    <w:p w14:paraId="7963069B" w14:textId="1E3CECF1"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Ceny muszą być podane i wyliczone w zaokrągleniu do dwóch miejsc po przecinku (</w:t>
      </w:r>
      <w:r w:rsidR="000C6CE4" w:rsidRPr="00E65B89">
        <w:rPr>
          <w:rFonts w:asciiTheme="majorHAnsi" w:hAnsiTheme="majorHAnsi" w:cstheme="majorHAnsi"/>
          <w:sz w:val="20"/>
          <w:szCs w:val="20"/>
        </w:rPr>
        <w:t>zasada zaokrąglenia – poniżej 5 </w:t>
      </w:r>
      <w:r w:rsidRPr="00E65B89">
        <w:rPr>
          <w:rFonts w:asciiTheme="majorHAnsi" w:hAnsiTheme="majorHAnsi" w:cstheme="majorHAnsi"/>
          <w:sz w:val="20"/>
          <w:szCs w:val="20"/>
        </w:rPr>
        <w:t>należy końcówkę pominąć, powyżej i równe 5 należy zaokrąglić w górę).</w:t>
      </w:r>
    </w:p>
    <w:p w14:paraId="670170E7" w14:textId="77777777"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Cena oferty winna być wyrażona w złotych polskich (PLN).</w:t>
      </w:r>
    </w:p>
    <w:p w14:paraId="07A6865C" w14:textId="1E772893"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Jeżeli w postępowaniu złożona będzie oferta</w:t>
      </w:r>
      <w:r w:rsidRPr="00E65B89">
        <w:rPr>
          <w:rFonts w:asciiTheme="majorHAnsi" w:hAnsiTheme="majorHAnsi" w:cstheme="majorHAnsi"/>
          <w:color w:val="000000"/>
          <w:sz w:val="20"/>
          <w:szCs w:val="20"/>
        </w:rPr>
        <w:t xml:space="preserve">, której wybór prowadziłby do powstania u zamawiającego obowiązku podatkowego zgodnie z </w:t>
      </w:r>
      <w:r w:rsidRPr="00E65B89">
        <w:rPr>
          <w:rFonts w:asciiTheme="majorHAnsi" w:hAnsiTheme="majorHAnsi" w:cstheme="majorHAnsi"/>
          <w:color w:val="1B1B1B"/>
          <w:sz w:val="20"/>
          <w:szCs w:val="20"/>
        </w:rPr>
        <w:t>przepisami</w:t>
      </w:r>
      <w:r w:rsidRPr="00E65B89">
        <w:rPr>
          <w:rFonts w:asciiTheme="majorHAnsi" w:hAnsiTheme="majorHAnsi" w:cs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E65B89">
        <w:rPr>
          <w:rFonts w:asciiTheme="majorHAnsi" w:hAnsiTheme="majorHAnsi" w:cstheme="majorHAnsi"/>
          <w:sz w:val="20"/>
          <w:szCs w:val="20"/>
        </w:rPr>
        <w:t xml:space="preserve">W takim przypadku </w:t>
      </w:r>
      <w:r w:rsidRPr="00E65B89">
        <w:rPr>
          <w:rFonts w:asciiTheme="majorHAnsi" w:hAnsiTheme="majorHAnsi" w:cstheme="majorHAnsi"/>
          <w:color w:val="000000"/>
          <w:sz w:val="20"/>
          <w:szCs w:val="20"/>
        </w:rPr>
        <w:t>Wykonawca, składając ofertę, jest zobligowany</w:t>
      </w:r>
      <w:r w:rsidR="00D66C61" w:rsidRPr="00E65B89">
        <w:rPr>
          <w:rFonts w:asciiTheme="majorHAnsi" w:hAnsiTheme="majorHAnsi" w:cstheme="majorHAnsi"/>
          <w:color w:val="000000"/>
          <w:sz w:val="20"/>
          <w:szCs w:val="20"/>
        </w:rPr>
        <w:t xml:space="preserve"> </w:t>
      </w:r>
      <w:r w:rsidRPr="00E65B89">
        <w:rPr>
          <w:rFonts w:asciiTheme="majorHAnsi" w:hAnsiTheme="majorHAnsi" w:cstheme="majorHAnsi"/>
          <w:color w:val="000000"/>
          <w:sz w:val="20"/>
          <w:szCs w:val="20"/>
        </w:rPr>
        <w:t xml:space="preserve">poinformować zamawiającego, że wybór jego </w:t>
      </w:r>
      <w:r w:rsidRPr="00E65B89">
        <w:rPr>
          <w:rFonts w:asciiTheme="majorHAnsi" w:hAnsiTheme="majorHAnsi" w:cstheme="majorHAnsi"/>
          <w:sz w:val="20"/>
          <w:szCs w:val="20"/>
        </w:rPr>
        <w:t xml:space="preserve">oferty będzie prowadzić do powstania u zamawiającego obowiązku podatkowego, wskazując nazwę </w:t>
      </w:r>
      <w:r w:rsidRPr="00E65B89">
        <w:rPr>
          <w:rFonts w:asciiTheme="majorHAnsi" w:hAnsiTheme="majorHAnsi" w:cstheme="majorHAnsi"/>
          <w:b/>
          <w:sz w:val="20"/>
          <w:szCs w:val="20"/>
        </w:rPr>
        <w:t>(rodzaj) towaru / usługi</w:t>
      </w:r>
      <w:r w:rsidRPr="00E65B89">
        <w:rPr>
          <w:rFonts w:asciiTheme="majorHAnsi" w:hAnsiTheme="majorHAnsi" w:cstheme="majorHAnsi"/>
          <w:sz w:val="20"/>
          <w:szCs w:val="20"/>
        </w:rPr>
        <w:t xml:space="preserve">, których </w:t>
      </w:r>
      <w:r w:rsidRPr="00E65B89">
        <w:rPr>
          <w:rFonts w:asciiTheme="majorHAnsi" w:hAnsiTheme="majorHAnsi" w:cstheme="majorHAnsi"/>
          <w:b/>
          <w:sz w:val="20"/>
          <w:szCs w:val="20"/>
        </w:rPr>
        <w:t>dostawa / świadczenie</w:t>
      </w:r>
      <w:r w:rsidRPr="00E65B89">
        <w:rPr>
          <w:rFonts w:asciiTheme="majorHAnsi" w:hAnsiTheme="majorHAnsi" w:cstheme="majorHAnsi"/>
          <w:sz w:val="20"/>
          <w:szCs w:val="20"/>
        </w:rPr>
        <w:t xml:space="preserve"> będzie prowadzić do jego powstania, oraz wskazując ich wartość bez kwoty podatku. </w:t>
      </w:r>
    </w:p>
    <w:p w14:paraId="19CB5179" w14:textId="77777777" w:rsidR="00245302" w:rsidRPr="00E65B89" w:rsidRDefault="00245302" w:rsidP="005A78BE">
      <w:pPr>
        <w:tabs>
          <w:tab w:val="left" w:pos="3855"/>
        </w:tabs>
        <w:spacing w:after="40"/>
        <w:ind w:left="426"/>
        <w:jc w:val="both"/>
        <w:rPr>
          <w:rFonts w:asciiTheme="majorHAnsi" w:hAnsiTheme="majorHAnsi" w:cstheme="majorHAnsi"/>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DC1100">
      <w:pPr>
        <w:numPr>
          <w:ilvl w:val="1"/>
          <w:numId w:val="27"/>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76FCA62E"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 xml:space="preserve">Wybór oferty </w:t>
      </w:r>
      <w:r w:rsidR="003851C8" w:rsidRPr="00E65B89">
        <w:rPr>
          <w:rFonts w:asciiTheme="majorHAnsi" w:hAnsiTheme="majorHAnsi" w:cstheme="majorHAnsi"/>
        </w:rPr>
        <w:t xml:space="preserve">w </w:t>
      </w:r>
      <w:r w:rsidR="00724C15" w:rsidRPr="00E65B89">
        <w:rPr>
          <w:rFonts w:asciiTheme="majorHAnsi" w:hAnsiTheme="majorHAnsi" w:cstheme="majorHAnsi"/>
        </w:rPr>
        <w:t>postępowani</w:t>
      </w:r>
      <w:r w:rsidR="003851C8" w:rsidRPr="00E65B89">
        <w:rPr>
          <w:rFonts w:asciiTheme="majorHAnsi" w:hAnsiTheme="majorHAnsi" w:cstheme="majorHAnsi"/>
        </w:rPr>
        <w:t>u</w:t>
      </w:r>
      <w:r w:rsidR="00724C15" w:rsidRPr="00E65B89">
        <w:rPr>
          <w:rFonts w:asciiTheme="majorHAnsi" w:hAnsiTheme="majorHAnsi" w:cstheme="majorHAnsi"/>
        </w:rPr>
        <w:t xml:space="preserve"> </w:t>
      </w:r>
      <w:r w:rsidRPr="00E65B89">
        <w:rPr>
          <w:rFonts w:asciiTheme="majorHAnsi" w:hAnsiTheme="majorHAnsi" w:cstheme="majorHAnsi"/>
        </w:rPr>
        <w:t>dokonany zostanie na podstawie niżej przedstawionych kryteriów (nazwa kryterium, waga, sposób punktowania):</w:t>
      </w:r>
    </w:p>
    <w:p w14:paraId="2DF5B84E" w14:textId="336124E4" w:rsidR="00DC1DF2" w:rsidRDefault="00DC1DF2" w:rsidP="00DC1DF2">
      <w:pPr>
        <w:spacing w:line="100" w:lineRule="atLeast"/>
        <w:ind w:left="426"/>
        <w:jc w:val="both"/>
        <w:rPr>
          <w:rFonts w:asciiTheme="majorHAnsi" w:hAnsiTheme="majorHAnsi" w:cstheme="majorHAnsi"/>
          <w:b/>
          <w:sz w:val="20"/>
          <w:szCs w:val="20"/>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3D2F5F" w:rsidRPr="00261286" w14:paraId="5B5CEE3F" w14:textId="77777777" w:rsidTr="00DC0F43">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240B95EC" w14:textId="77777777" w:rsidR="003D2F5F" w:rsidRPr="00261286" w:rsidRDefault="003D2F5F" w:rsidP="00DC0F43">
            <w:pPr>
              <w:pStyle w:val="NormalnyWeb"/>
              <w:keepNext/>
              <w:snapToGrid w:val="0"/>
              <w:spacing w:before="0" w:line="276" w:lineRule="auto"/>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6B833AF9" w14:textId="77777777" w:rsidR="003D2F5F" w:rsidRPr="00261286" w:rsidRDefault="003D2F5F" w:rsidP="00DC0F43">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247A6429" w14:textId="77777777" w:rsidR="003D2F5F" w:rsidRPr="00261286" w:rsidRDefault="003D2F5F" w:rsidP="00DC0F43">
            <w:pPr>
              <w:pStyle w:val="NormalnyWeb"/>
              <w:keepNext/>
              <w:snapToGrid w:val="0"/>
              <w:spacing w:before="79" w:line="276" w:lineRule="auto"/>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6613C8F" w14:textId="77777777" w:rsidR="003D2F5F" w:rsidRPr="00261286" w:rsidRDefault="003D2F5F" w:rsidP="00DC0F43">
            <w:pPr>
              <w:pStyle w:val="NormalnyWeb"/>
              <w:keepNext/>
              <w:snapToGrid w:val="0"/>
              <w:spacing w:before="79" w:line="276" w:lineRule="auto"/>
              <w:jc w:val="center"/>
              <w:rPr>
                <w:rFonts w:asciiTheme="majorHAnsi" w:hAnsiTheme="majorHAnsi" w:cs="Arial"/>
              </w:rPr>
            </w:pPr>
            <w:r w:rsidRPr="00261286">
              <w:rPr>
                <w:rFonts w:asciiTheme="majorHAnsi" w:hAnsiTheme="majorHAnsi" w:cs="Arial"/>
                <w:b/>
                <w:bCs/>
              </w:rPr>
              <w:t>Waga kryterium</w:t>
            </w:r>
          </w:p>
        </w:tc>
      </w:tr>
      <w:tr w:rsidR="003D2F5F" w:rsidRPr="00261286" w14:paraId="5A3AAEE2" w14:textId="77777777" w:rsidTr="00DC0F43">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172CDEDA" w14:textId="77777777" w:rsidR="003D2F5F" w:rsidRPr="00261286" w:rsidRDefault="003D2F5F" w:rsidP="00DC0F43">
            <w:pPr>
              <w:pStyle w:val="NormalnyWeb"/>
              <w:snapToGrid w:val="0"/>
              <w:spacing w:before="0" w:line="276" w:lineRule="auto"/>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2F6DFD41" w14:textId="77777777" w:rsidR="003D2F5F" w:rsidRPr="001F2BF1" w:rsidRDefault="003D2F5F" w:rsidP="00DC0F43">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brutto (</w:t>
            </w:r>
            <w:proofErr w:type="spellStart"/>
            <w:r w:rsidRPr="001F2BF1">
              <w:rPr>
                <w:rFonts w:asciiTheme="majorHAnsi" w:hAnsiTheme="majorHAnsi" w:cs="Arial"/>
              </w:rPr>
              <w:t>Pc</w:t>
            </w:r>
            <w:proofErr w:type="spellEnd"/>
            <w:r w:rsidRPr="001F2BF1">
              <w:rPr>
                <w:rFonts w:asciiTheme="majorHAnsi" w:hAnsiTheme="majorHAnsi" w:cs="Arial"/>
              </w:rPr>
              <w:t>)</w:t>
            </w:r>
          </w:p>
        </w:tc>
        <w:tc>
          <w:tcPr>
            <w:tcW w:w="5387" w:type="dxa"/>
            <w:tcBorders>
              <w:top w:val="double" w:sz="1" w:space="0" w:color="000000"/>
              <w:left w:val="double" w:sz="1" w:space="0" w:color="000000"/>
              <w:bottom w:val="double" w:sz="2" w:space="0" w:color="000000"/>
            </w:tcBorders>
            <w:shd w:val="clear" w:color="auto" w:fill="auto"/>
            <w:vAlign w:val="center"/>
          </w:tcPr>
          <w:p w14:paraId="299978F6" w14:textId="77777777" w:rsidR="003D2F5F" w:rsidRPr="001F2BF1" w:rsidRDefault="003D2F5F" w:rsidP="00DC0F43">
            <w:pPr>
              <w:pStyle w:val="NormalnyWeb"/>
              <w:snapToGrid w:val="0"/>
              <w:spacing w:before="0" w:line="276" w:lineRule="auto"/>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FC240BE" w14:textId="77777777" w:rsidR="003D2F5F" w:rsidRPr="00261286" w:rsidRDefault="003D2F5F" w:rsidP="00DC0F43">
            <w:pPr>
              <w:pStyle w:val="NormalnyWeb"/>
              <w:snapToGrid w:val="0"/>
              <w:spacing w:before="0" w:line="276" w:lineRule="auto"/>
              <w:jc w:val="center"/>
              <w:rPr>
                <w:rFonts w:asciiTheme="majorHAnsi" w:hAnsiTheme="majorHAnsi" w:cs="Arial"/>
              </w:rPr>
            </w:pPr>
            <w:r w:rsidRPr="00261286">
              <w:rPr>
                <w:rFonts w:asciiTheme="majorHAnsi" w:hAnsiTheme="majorHAnsi" w:cs="Arial"/>
              </w:rPr>
              <w:t>60,00%</w:t>
            </w:r>
          </w:p>
        </w:tc>
      </w:tr>
      <w:tr w:rsidR="003D2F5F" w:rsidRPr="00261286" w14:paraId="24AFADDA" w14:textId="77777777" w:rsidTr="00DC0F43">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85409AB" w14:textId="77777777" w:rsidR="003D2F5F" w:rsidRPr="00261286" w:rsidRDefault="003D2F5F" w:rsidP="00DC0F43">
            <w:pPr>
              <w:pStyle w:val="NormalnyWeb"/>
              <w:snapToGrid w:val="0"/>
              <w:spacing w:before="0" w:line="276" w:lineRule="auto"/>
              <w:jc w:val="center"/>
              <w:rPr>
                <w:rFonts w:asciiTheme="majorHAnsi" w:hAnsiTheme="majorHAnsi"/>
              </w:rPr>
            </w:pPr>
            <w:r>
              <w:rPr>
                <w:rFonts w:asciiTheme="majorHAnsi" w:hAnsiTheme="majorHAnsi"/>
              </w:rPr>
              <w:lastRenderedPageBreak/>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6B03985F" w14:textId="77777777" w:rsidR="003D2F5F" w:rsidRPr="00261286" w:rsidRDefault="003D2F5F" w:rsidP="00DC0F43">
            <w:pPr>
              <w:pStyle w:val="NormalnyWeb"/>
              <w:snapToGrid w:val="0"/>
              <w:spacing w:before="0" w:line="276" w:lineRule="auto"/>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03F957A5" w14:textId="034AA611" w:rsidR="003D2F5F" w:rsidRPr="002927E7" w:rsidRDefault="003D2F5F" w:rsidP="00DC0F43">
            <w:pPr>
              <w:pStyle w:val="NormalnyWeb"/>
              <w:snapToGrid w:val="0"/>
              <w:spacing w:before="0" w:beforeAutospacing="0" w:after="0" w:afterAutospacing="0" w:line="276" w:lineRule="auto"/>
              <w:jc w:val="center"/>
              <w:rPr>
                <w:rFonts w:asciiTheme="majorHAnsi" w:hAnsiTheme="majorHAnsi"/>
                <w:sz w:val="16"/>
                <w:szCs w:val="16"/>
              </w:rPr>
            </w:pPr>
            <w:r>
              <w:rPr>
                <w:rFonts w:asciiTheme="majorHAnsi" w:hAnsiTheme="majorHAnsi" w:cs="Arial"/>
                <w:lang w:val="cs-CZ"/>
              </w:rPr>
              <w:t xml:space="preserve">Termin gwarancji na wykonane roboty i usługi oraz zastosowane materiały. Termin ten musi być określony w przedziale od 60 miesięcy do </w:t>
            </w:r>
            <w:r w:rsidR="00DC1100">
              <w:rPr>
                <w:rFonts w:asciiTheme="majorHAnsi" w:hAnsiTheme="majorHAnsi" w:cs="Arial"/>
                <w:lang w:val="cs-CZ"/>
              </w:rPr>
              <w:t>84</w:t>
            </w:r>
            <w:r>
              <w:rPr>
                <w:rFonts w:asciiTheme="majorHAnsi" w:hAnsiTheme="majorHAnsi" w:cs="Arial"/>
                <w:lang w:val="cs-CZ"/>
              </w:rPr>
              <w:t xml:space="preserve"> miesięcy.</w:t>
            </w:r>
            <w:r>
              <w:rPr>
                <w:lang w:val="cs-CZ"/>
              </w:rPr>
              <w:t xml:space="preserve"> </w:t>
            </w:r>
            <w:r>
              <w:rPr>
                <w:rFonts w:asciiTheme="majorHAnsi" w:hAnsiTheme="majorHAnsi" w:cs="Arial"/>
                <w:lang w:val="cs-CZ"/>
              </w:rPr>
              <w:t xml:space="preserve">W przydatku zaoferowania terminu krótszego niż 60 miesięcy oferta zostanie odrzucona, natomiast w przypadku zaoferowania terminu dłuższego niż </w:t>
            </w:r>
            <w:r w:rsidR="00DC1100">
              <w:rPr>
                <w:rFonts w:asciiTheme="majorHAnsi" w:hAnsiTheme="majorHAnsi" w:cs="Arial"/>
                <w:lang w:val="cs-CZ"/>
              </w:rPr>
              <w:t>84</w:t>
            </w:r>
            <w:r>
              <w:rPr>
                <w:rFonts w:asciiTheme="majorHAnsi" w:hAnsiTheme="majorHAnsi" w:cs="Arial"/>
                <w:lang w:val="cs-CZ"/>
              </w:rPr>
              <w:t xml:space="preserve"> miesięcy oferta zostanie oceniona tak samo jak by Wykonawca zaoferował </w:t>
            </w:r>
            <w:r w:rsidR="00DC1100">
              <w:rPr>
                <w:rFonts w:asciiTheme="majorHAnsi" w:hAnsiTheme="majorHAnsi" w:cs="Arial"/>
                <w:lang w:val="cs-CZ"/>
              </w:rPr>
              <w:t>84</w:t>
            </w:r>
            <w:r>
              <w:rPr>
                <w:rFonts w:asciiTheme="majorHAnsi" w:hAnsiTheme="majorHAnsi" w:cs="Arial"/>
                <w:lang w:val="cs-CZ"/>
              </w:rPr>
              <w:t>-miesięczną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FA41469" w14:textId="77777777" w:rsidR="003D2F5F" w:rsidRPr="00261286" w:rsidRDefault="003D2F5F" w:rsidP="00DC0F43">
            <w:pPr>
              <w:pStyle w:val="NormalnyWeb"/>
              <w:snapToGrid w:val="0"/>
              <w:spacing w:before="0" w:line="276" w:lineRule="auto"/>
              <w:jc w:val="center"/>
              <w:rPr>
                <w:rFonts w:asciiTheme="majorHAnsi" w:hAnsiTheme="majorHAnsi"/>
              </w:rPr>
            </w:pPr>
            <w:r>
              <w:rPr>
                <w:rFonts w:asciiTheme="majorHAnsi" w:hAnsiTheme="majorHAnsi"/>
              </w:rPr>
              <w:t>40</w:t>
            </w:r>
            <w:r w:rsidRPr="00261286">
              <w:rPr>
                <w:rFonts w:asciiTheme="majorHAnsi" w:hAnsiTheme="majorHAnsi"/>
              </w:rPr>
              <w:t>,00%</w:t>
            </w:r>
          </w:p>
        </w:tc>
      </w:tr>
    </w:tbl>
    <w:p w14:paraId="30D1191E" w14:textId="60BD6904" w:rsidR="003D2F5F" w:rsidRDefault="003D2F5F" w:rsidP="00DC1DF2">
      <w:pPr>
        <w:spacing w:line="100" w:lineRule="atLeast"/>
        <w:ind w:left="426"/>
        <w:jc w:val="both"/>
        <w:rPr>
          <w:rFonts w:asciiTheme="majorHAnsi" w:hAnsiTheme="majorHAnsi" w:cstheme="majorHAnsi"/>
          <w:b/>
          <w:sz w:val="20"/>
          <w:szCs w:val="20"/>
        </w:rPr>
      </w:pPr>
    </w:p>
    <w:p w14:paraId="77F000A1" w14:textId="77777777" w:rsidR="00B15222" w:rsidRPr="00E65B89" w:rsidRDefault="00B15222" w:rsidP="00DC1100">
      <w:pPr>
        <w:numPr>
          <w:ilvl w:val="1"/>
          <w:numId w:val="28"/>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21DD40C7" w14:textId="77777777" w:rsidR="006A54F5" w:rsidRPr="006A54F5" w:rsidRDefault="006A54F5" w:rsidP="006A54F5">
      <w:pPr>
        <w:pStyle w:val="Akapitzlist"/>
        <w:ind w:left="720"/>
        <w:jc w:val="both"/>
        <w:rPr>
          <w:rFonts w:asciiTheme="majorHAnsi" w:hAnsiTheme="majorHAnsi" w:cstheme="majorHAnsi"/>
          <w:sz w:val="20"/>
          <w:szCs w:val="20"/>
        </w:rPr>
      </w:pPr>
      <w:r w:rsidRPr="006A54F5">
        <w:rPr>
          <w:rFonts w:asciiTheme="majorHAnsi" w:hAnsiTheme="majorHAnsi" w:cstheme="majorHAnsi"/>
          <w:sz w:val="20"/>
          <w:szCs w:val="20"/>
        </w:rPr>
        <w:t xml:space="preserve">P = </w:t>
      </w:r>
      <w:proofErr w:type="spellStart"/>
      <w:r w:rsidRPr="006A54F5">
        <w:rPr>
          <w:rFonts w:asciiTheme="majorHAnsi" w:hAnsiTheme="majorHAnsi" w:cstheme="majorHAnsi"/>
          <w:sz w:val="20"/>
          <w:szCs w:val="20"/>
        </w:rPr>
        <w:t>Pc</w:t>
      </w:r>
      <w:proofErr w:type="spellEnd"/>
      <w:r w:rsidRPr="006A54F5">
        <w:rPr>
          <w:rFonts w:asciiTheme="majorHAnsi" w:hAnsiTheme="majorHAnsi" w:cstheme="majorHAnsi"/>
          <w:sz w:val="20"/>
          <w:szCs w:val="20"/>
        </w:rPr>
        <w:t xml:space="preserve"> + TG</w:t>
      </w:r>
    </w:p>
    <w:p w14:paraId="400AE89C" w14:textId="77777777" w:rsidR="006A54F5"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t>gdzie:</w:t>
      </w:r>
    </w:p>
    <w:p w14:paraId="7D8A8C19" w14:textId="77777777" w:rsidR="006A54F5"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t>P  –  liczba punktów oferty badanej,</w:t>
      </w:r>
    </w:p>
    <w:p w14:paraId="472D9CB5" w14:textId="77777777" w:rsidR="006A54F5" w:rsidRPr="0026257C" w:rsidRDefault="006A54F5" w:rsidP="006A54F5">
      <w:pPr>
        <w:pStyle w:val="Akapitzlist"/>
        <w:ind w:left="720"/>
        <w:jc w:val="both"/>
        <w:rPr>
          <w:rFonts w:asciiTheme="majorHAnsi" w:hAnsiTheme="majorHAnsi" w:cstheme="majorHAnsi"/>
          <w:sz w:val="20"/>
          <w:szCs w:val="20"/>
        </w:rPr>
      </w:pPr>
      <w:proofErr w:type="spellStart"/>
      <w:r w:rsidRPr="0026257C">
        <w:rPr>
          <w:rFonts w:asciiTheme="majorHAnsi" w:hAnsiTheme="majorHAnsi" w:cstheme="majorHAnsi"/>
          <w:sz w:val="20"/>
          <w:szCs w:val="20"/>
        </w:rPr>
        <w:t>Pc</w:t>
      </w:r>
      <w:proofErr w:type="spellEnd"/>
      <w:r w:rsidRPr="0026257C">
        <w:rPr>
          <w:rFonts w:asciiTheme="majorHAnsi" w:hAnsiTheme="majorHAnsi" w:cstheme="majorHAnsi"/>
          <w:sz w:val="20"/>
          <w:szCs w:val="20"/>
        </w:rPr>
        <w:t xml:space="preserve"> – liczba punktów w kryterium Cena oferty brutto</w:t>
      </w:r>
    </w:p>
    <w:p w14:paraId="01EC3348" w14:textId="5BFEF9DA" w:rsidR="009E7F4F" w:rsidRPr="0026257C" w:rsidRDefault="006A54F5" w:rsidP="006A54F5">
      <w:pPr>
        <w:pStyle w:val="Akapitzlist"/>
        <w:ind w:left="720"/>
        <w:jc w:val="both"/>
        <w:rPr>
          <w:rFonts w:asciiTheme="majorHAnsi" w:hAnsiTheme="majorHAnsi" w:cstheme="majorHAnsi"/>
          <w:sz w:val="20"/>
          <w:szCs w:val="20"/>
        </w:rPr>
      </w:pPr>
      <w:r w:rsidRPr="0026257C">
        <w:rPr>
          <w:rFonts w:asciiTheme="majorHAnsi" w:hAnsiTheme="majorHAnsi" w:cstheme="majorHAnsi"/>
          <w:sz w:val="20"/>
          <w:szCs w:val="20"/>
        </w:rPr>
        <w:t>TG – liczba punktów w kryterium Termin gwarancji</w:t>
      </w:r>
    </w:p>
    <w:p w14:paraId="5FC413A8" w14:textId="77777777" w:rsidR="006A54F5" w:rsidRPr="0026257C" w:rsidRDefault="006A54F5" w:rsidP="006A54F5">
      <w:pPr>
        <w:pStyle w:val="Akapitzlist"/>
        <w:ind w:left="720"/>
        <w:jc w:val="both"/>
        <w:rPr>
          <w:rFonts w:asciiTheme="majorHAnsi" w:hAnsiTheme="majorHAnsi" w:cstheme="majorHAnsi"/>
          <w:sz w:val="20"/>
          <w:szCs w:val="20"/>
        </w:rPr>
      </w:pPr>
    </w:p>
    <w:p w14:paraId="774BBEB5" w14:textId="3D75BB45" w:rsidR="00850CD3" w:rsidRPr="0026257C" w:rsidRDefault="009E7F4F" w:rsidP="00DC1100">
      <w:pPr>
        <w:pStyle w:val="Akapitzlist"/>
        <w:numPr>
          <w:ilvl w:val="2"/>
          <w:numId w:val="27"/>
        </w:numPr>
        <w:suppressAutoHyphens/>
        <w:ind w:left="993" w:hanging="284"/>
        <w:jc w:val="both"/>
        <w:rPr>
          <w:rFonts w:asciiTheme="majorHAnsi" w:hAnsiTheme="majorHAnsi" w:cstheme="majorHAnsi"/>
          <w:sz w:val="20"/>
          <w:szCs w:val="20"/>
        </w:rPr>
      </w:pPr>
      <w:r w:rsidRPr="0026257C">
        <w:rPr>
          <w:rFonts w:asciiTheme="majorHAnsi" w:hAnsiTheme="majorHAnsi" w:cstheme="majorHAnsi"/>
          <w:sz w:val="20"/>
          <w:szCs w:val="20"/>
        </w:rPr>
        <w:t>Kryterium cena oferty brutto.</w:t>
      </w:r>
    </w:p>
    <w:p w14:paraId="1DD3AD91" w14:textId="5CB65503" w:rsidR="009E7F4F" w:rsidRPr="0026257C" w:rsidRDefault="009E7F4F" w:rsidP="009E7F4F">
      <w:pPr>
        <w:pStyle w:val="Akapitzlist"/>
        <w:suppressAutoHyphens/>
        <w:ind w:left="993"/>
        <w:jc w:val="both"/>
        <w:rPr>
          <w:rFonts w:asciiTheme="majorHAnsi" w:hAnsiTheme="majorHAnsi" w:cstheme="majorHAnsi"/>
          <w:sz w:val="20"/>
          <w:szCs w:val="20"/>
        </w:rPr>
      </w:pPr>
      <w:r w:rsidRPr="0026257C">
        <w:rPr>
          <w:rFonts w:asciiTheme="majorHAnsi" w:hAnsiTheme="majorHAnsi" w:cstheme="majorHAnsi"/>
          <w:sz w:val="20"/>
          <w:szCs w:val="20"/>
        </w:rPr>
        <w:t>Oferty ocenione zostaną wg poniższego wzoru:</w:t>
      </w:r>
    </w:p>
    <w:p w14:paraId="36D0FA47"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p>
    <w:p w14:paraId="0A1E533B" w14:textId="77777777" w:rsidR="001D4D5D" w:rsidRPr="0026257C" w:rsidRDefault="001D4D5D" w:rsidP="001D4D5D">
      <w:pPr>
        <w:suppressAutoHyphens/>
        <w:ind w:left="3541" w:firstLine="707"/>
        <w:jc w:val="both"/>
        <w:rPr>
          <w:rFonts w:asciiTheme="majorHAnsi" w:hAnsiTheme="majorHAnsi" w:cstheme="majorHAnsi"/>
          <w:sz w:val="20"/>
          <w:szCs w:val="20"/>
        </w:rPr>
      </w:pPr>
      <w:r w:rsidRPr="0026257C">
        <w:rPr>
          <w:rFonts w:asciiTheme="majorHAnsi" w:hAnsiTheme="majorHAnsi" w:cstheme="majorHAnsi"/>
          <w:sz w:val="20"/>
          <w:szCs w:val="20"/>
        </w:rPr>
        <w:t>(</w:t>
      </w:r>
      <w:proofErr w:type="spellStart"/>
      <w:r w:rsidRPr="0026257C">
        <w:rPr>
          <w:rFonts w:asciiTheme="majorHAnsi" w:hAnsiTheme="majorHAnsi" w:cstheme="majorHAnsi"/>
          <w:sz w:val="20"/>
          <w:szCs w:val="20"/>
        </w:rPr>
        <w:t>Cmax</w:t>
      </w:r>
      <w:proofErr w:type="spellEnd"/>
      <w:r w:rsidRPr="0026257C">
        <w:rPr>
          <w:rFonts w:asciiTheme="majorHAnsi" w:hAnsiTheme="majorHAnsi" w:cstheme="majorHAnsi"/>
          <w:sz w:val="20"/>
          <w:szCs w:val="20"/>
        </w:rPr>
        <w:t xml:space="preserve"> – </w:t>
      </w:r>
      <w:proofErr w:type="spellStart"/>
      <w:r w:rsidRPr="0026257C">
        <w:rPr>
          <w:rFonts w:asciiTheme="majorHAnsi" w:hAnsiTheme="majorHAnsi" w:cstheme="majorHAnsi"/>
          <w:sz w:val="20"/>
          <w:szCs w:val="20"/>
        </w:rPr>
        <w:t>Cb</w:t>
      </w:r>
      <w:proofErr w:type="spellEnd"/>
      <w:r w:rsidRPr="0026257C">
        <w:rPr>
          <w:rFonts w:asciiTheme="majorHAnsi" w:hAnsiTheme="majorHAnsi" w:cstheme="majorHAnsi"/>
          <w:sz w:val="20"/>
          <w:szCs w:val="20"/>
        </w:rPr>
        <w:t>)</w:t>
      </w:r>
    </w:p>
    <w:p w14:paraId="486BC551"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Liczba punktów oferty (</w:t>
      </w:r>
      <w:proofErr w:type="spellStart"/>
      <w:r w:rsidRPr="0026257C">
        <w:rPr>
          <w:rFonts w:asciiTheme="majorHAnsi" w:hAnsiTheme="majorHAnsi" w:cstheme="majorHAnsi"/>
          <w:sz w:val="20"/>
          <w:szCs w:val="20"/>
        </w:rPr>
        <w:t>Pc</w:t>
      </w:r>
      <w:proofErr w:type="spellEnd"/>
      <w:r w:rsidRPr="0026257C">
        <w:rPr>
          <w:rFonts w:asciiTheme="majorHAnsi" w:hAnsiTheme="majorHAnsi" w:cstheme="majorHAnsi"/>
          <w:sz w:val="20"/>
          <w:szCs w:val="20"/>
        </w:rPr>
        <w:t>) =</w:t>
      </w:r>
      <w:r w:rsidRPr="0026257C">
        <w:rPr>
          <w:rFonts w:asciiTheme="majorHAnsi" w:hAnsiTheme="majorHAnsi" w:cstheme="majorHAnsi"/>
          <w:sz w:val="20"/>
          <w:szCs w:val="20"/>
        </w:rPr>
        <w:tab/>
        <w:t xml:space="preserve">         -------------------------- x 100 pkt x 60%</w:t>
      </w:r>
    </w:p>
    <w:p w14:paraId="697D87D2"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ab/>
        <w:t xml:space="preserve"> </w:t>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r>
      <w:r w:rsidRPr="0026257C">
        <w:rPr>
          <w:rFonts w:asciiTheme="majorHAnsi" w:hAnsiTheme="majorHAnsi" w:cstheme="majorHAnsi"/>
          <w:sz w:val="20"/>
          <w:szCs w:val="20"/>
        </w:rPr>
        <w:tab/>
        <w:t>(</w:t>
      </w:r>
      <w:proofErr w:type="spellStart"/>
      <w:r w:rsidRPr="0026257C">
        <w:rPr>
          <w:rFonts w:asciiTheme="majorHAnsi" w:hAnsiTheme="majorHAnsi" w:cstheme="majorHAnsi"/>
          <w:sz w:val="20"/>
          <w:szCs w:val="20"/>
        </w:rPr>
        <w:t>Cmax</w:t>
      </w:r>
      <w:proofErr w:type="spellEnd"/>
      <w:r w:rsidRPr="0026257C">
        <w:rPr>
          <w:rFonts w:asciiTheme="majorHAnsi" w:hAnsiTheme="majorHAnsi" w:cstheme="majorHAnsi"/>
          <w:sz w:val="20"/>
          <w:szCs w:val="20"/>
        </w:rPr>
        <w:t xml:space="preserve"> – </w:t>
      </w:r>
      <w:proofErr w:type="spellStart"/>
      <w:r w:rsidRPr="0026257C">
        <w:rPr>
          <w:rFonts w:asciiTheme="majorHAnsi" w:hAnsiTheme="majorHAnsi" w:cstheme="majorHAnsi"/>
          <w:sz w:val="20"/>
          <w:szCs w:val="20"/>
        </w:rPr>
        <w:t>Cn</w:t>
      </w:r>
      <w:proofErr w:type="spellEnd"/>
      <w:r w:rsidRPr="0026257C">
        <w:rPr>
          <w:rFonts w:asciiTheme="majorHAnsi" w:hAnsiTheme="majorHAnsi" w:cstheme="majorHAnsi"/>
          <w:sz w:val="20"/>
          <w:szCs w:val="20"/>
        </w:rPr>
        <w:t>)</w:t>
      </w:r>
    </w:p>
    <w:p w14:paraId="0FD06380" w14:textId="77777777" w:rsidR="001D4D5D" w:rsidRPr="0026257C" w:rsidRDefault="001D4D5D" w:rsidP="001D4D5D">
      <w:pPr>
        <w:suppressAutoHyphens/>
        <w:ind w:left="709"/>
        <w:jc w:val="both"/>
        <w:rPr>
          <w:rFonts w:asciiTheme="majorHAnsi" w:hAnsiTheme="majorHAnsi" w:cstheme="majorHAnsi"/>
          <w:sz w:val="20"/>
          <w:szCs w:val="20"/>
        </w:rPr>
      </w:pPr>
    </w:p>
    <w:p w14:paraId="4885E1AB" w14:textId="77777777" w:rsidR="001D4D5D" w:rsidRPr="0026257C" w:rsidRDefault="001D4D5D" w:rsidP="001D4D5D">
      <w:pPr>
        <w:suppressAutoHyphens/>
        <w:ind w:left="709"/>
        <w:jc w:val="both"/>
        <w:rPr>
          <w:rFonts w:asciiTheme="majorHAnsi" w:hAnsiTheme="majorHAnsi" w:cstheme="majorHAnsi"/>
          <w:sz w:val="20"/>
          <w:szCs w:val="20"/>
        </w:rPr>
      </w:pPr>
      <w:proofErr w:type="spellStart"/>
      <w:r w:rsidRPr="0026257C">
        <w:rPr>
          <w:rFonts w:asciiTheme="majorHAnsi" w:hAnsiTheme="majorHAnsi" w:cstheme="majorHAnsi"/>
          <w:sz w:val="20"/>
          <w:szCs w:val="20"/>
        </w:rPr>
        <w:t>Pc</w:t>
      </w:r>
      <w:proofErr w:type="spellEnd"/>
      <w:r w:rsidRPr="0026257C">
        <w:rPr>
          <w:rFonts w:asciiTheme="majorHAnsi" w:hAnsiTheme="majorHAnsi" w:cstheme="majorHAnsi"/>
          <w:sz w:val="20"/>
          <w:szCs w:val="20"/>
        </w:rPr>
        <w:t xml:space="preserve"> </w:t>
      </w:r>
      <w:r w:rsidRPr="0026257C">
        <w:rPr>
          <w:rFonts w:asciiTheme="majorHAnsi" w:hAnsiTheme="majorHAnsi" w:cstheme="majorHAnsi"/>
          <w:sz w:val="20"/>
          <w:szCs w:val="20"/>
        </w:rPr>
        <w:tab/>
        <w:t>– liczba punktów (z uwzględnieniem wagi kryterium) w kryterium Całkowita cena oferty brutto,</w:t>
      </w:r>
    </w:p>
    <w:p w14:paraId="532F317D" w14:textId="77777777" w:rsidR="001D4D5D" w:rsidRPr="0026257C" w:rsidRDefault="001D4D5D" w:rsidP="001D4D5D">
      <w:pPr>
        <w:suppressAutoHyphens/>
        <w:ind w:left="709"/>
        <w:jc w:val="both"/>
        <w:rPr>
          <w:rFonts w:asciiTheme="majorHAnsi" w:hAnsiTheme="majorHAnsi" w:cstheme="majorHAnsi"/>
          <w:sz w:val="20"/>
          <w:szCs w:val="20"/>
        </w:rPr>
      </w:pPr>
      <w:proofErr w:type="spellStart"/>
      <w:r w:rsidRPr="0026257C">
        <w:rPr>
          <w:rFonts w:asciiTheme="majorHAnsi" w:hAnsiTheme="majorHAnsi" w:cstheme="majorHAnsi"/>
          <w:sz w:val="20"/>
          <w:szCs w:val="20"/>
        </w:rPr>
        <w:t>Cn</w:t>
      </w:r>
      <w:proofErr w:type="spellEnd"/>
      <w:r w:rsidRPr="0026257C">
        <w:rPr>
          <w:rFonts w:asciiTheme="majorHAnsi" w:hAnsiTheme="majorHAnsi" w:cstheme="majorHAnsi"/>
          <w:sz w:val="20"/>
          <w:szCs w:val="20"/>
        </w:rPr>
        <w:t xml:space="preserve"> </w:t>
      </w:r>
      <w:r w:rsidRPr="0026257C">
        <w:rPr>
          <w:rFonts w:asciiTheme="majorHAnsi" w:hAnsiTheme="majorHAnsi" w:cstheme="majorHAnsi"/>
          <w:sz w:val="20"/>
          <w:szCs w:val="20"/>
        </w:rPr>
        <w:tab/>
        <w:t>– najniższa oferowana całkowita cena brutto,</w:t>
      </w:r>
    </w:p>
    <w:p w14:paraId="548A767B" w14:textId="77777777" w:rsidR="001D4D5D" w:rsidRPr="0026257C" w:rsidRDefault="001D4D5D" w:rsidP="001D4D5D">
      <w:pPr>
        <w:suppressAutoHyphens/>
        <w:ind w:left="709"/>
        <w:jc w:val="both"/>
        <w:rPr>
          <w:rFonts w:asciiTheme="majorHAnsi" w:hAnsiTheme="majorHAnsi" w:cstheme="majorHAnsi"/>
          <w:sz w:val="20"/>
          <w:szCs w:val="20"/>
        </w:rPr>
      </w:pPr>
      <w:proofErr w:type="spellStart"/>
      <w:r w:rsidRPr="0026257C">
        <w:rPr>
          <w:rFonts w:asciiTheme="majorHAnsi" w:hAnsiTheme="majorHAnsi" w:cstheme="majorHAnsi"/>
          <w:sz w:val="20"/>
          <w:szCs w:val="20"/>
        </w:rPr>
        <w:t>Cb</w:t>
      </w:r>
      <w:proofErr w:type="spellEnd"/>
      <w:r w:rsidRPr="0026257C">
        <w:rPr>
          <w:rFonts w:asciiTheme="majorHAnsi" w:hAnsiTheme="majorHAnsi" w:cstheme="majorHAnsi"/>
          <w:sz w:val="20"/>
          <w:szCs w:val="20"/>
        </w:rPr>
        <w:t xml:space="preserve"> </w:t>
      </w:r>
      <w:r w:rsidRPr="0026257C">
        <w:rPr>
          <w:rFonts w:asciiTheme="majorHAnsi" w:hAnsiTheme="majorHAnsi" w:cstheme="majorHAnsi"/>
          <w:sz w:val="20"/>
          <w:szCs w:val="20"/>
        </w:rPr>
        <w:tab/>
        <w:t>– całkowita cena brutto badanej oferty.</w:t>
      </w:r>
    </w:p>
    <w:p w14:paraId="5EF02001" w14:textId="77777777" w:rsidR="001D4D5D" w:rsidRPr="0026257C" w:rsidRDefault="001D4D5D" w:rsidP="001D4D5D">
      <w:pPr>
        <w:suppressAutoHyphens/>
        <w:ind w:left="709"/>
        <w:jc w:val="both"/>
        <w:rPr>
          <w:rFonts w:asciiTheme="majorHAnsi" w:hAnsiTheme="majorHAnsi" w:cstheme="majorHAnsi"/>
          <w:sz w:val="20"/>
          <w:szCs w:val="20"/>
        </w:rPr>
      </w:pPr>
      <w:proofErr w:type="spellStart"/>
      <w:r w:rsidRPr="0026257C">
        <w:rPr>
          <w:rFonts w:asciiTheme="majorHAnsi" w:hAnsiTheme="majorHAnsi" w:cstheme="majorHAnsi"/>
          <w:sz w:val="20"/>
          <w:szCs w:val="20"/>
        </w:rPr>
        <w:t>Cmax</w:t>
      </w:r>
      <w:proofErr w:type="spellEnd"/>
      <w:r w:rsidRPr="0026257C">
        <w:rPr>
          <w:rFonts w:asciiTheme="majorHAnsi" w:hAnsiTheme="majorHAnsi" w:cstheme="majorHAnsi"/>
          <w:sz w:val="20"/>
          <w:szCs w:val="20"/>
        </w:rPr>
        <w:t xml:space="preserve"> – najwyższa oferowana całkowita cena brutto</w:t>
      </w:r>
    </w:p>
    <w:p w14:paraId="3D089F9A" w14:textId="77777777" w:rsidR="001D4D5D" w:rsidRPr="0026257C" w:rsidRDefault="001D4D5D" w:rsidP="001D4D5D">
      <w:pPr>
        <w:suppressAutoHyphens/>
        <w:ind w:left="709"/>
        <w:jc w:val="both"/>
        <w:rPr>
          <w:rFonts w:asciiTheme="majorHAnsi" w:hAnsiTheme="majorHAnsi" w:cstheme="majorHAnsi"/>
          <w:sz w:val="20"/>
          <w:szCs w:val="20"/>
        </w:rPr>
      </w:pPr>
    </w:p>
    <w:p w14:paraId="0EDFBD9A" w14:textId="77777777" w:rsidR="001D4D5D" w:rsidRPr="0026257C" w:rsidRDefault="001D4D5D" w:rsidP="001D4D5D">
      <w:p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W przypadku gdy, w postępowaniu zostanie złożona jedna oferta niepodlegająca odrzuceniu Zamawiający przyzna tej ofercie 60 pkt w kryterium Całkowita cena oferty brutto (</w:t>
      </w:r>
      <w:proofErr w:type="spellStart"/>
      <w:r w:rsidRPr="0026257C">
        <w:rPr>
          <w:rFonts w:asciiTheme="majorHAnsi" w:hAnsiTheme="majorHAnsi" w:cstheme="majorHAnsi"/>
          <w:sz w:val="20"/>
          <w:szCs w:val="20"/>
        </w:rPr>
        <w:t>Pc</w:t>
      </w:r>
      <w:proofErr w:type="spellEnd"/>
      <w:r w:rsidRPr="0026257C">
        <w:rPr>
          <w:rFonts w:asciiTheme="majorHAnsi" w:hAnsiTheme="majorHAnsi" w:cstheme="majorHAnsi"/>
          <w:sz w:val="20"/>
          <w:szCs w:val="20"/>
        </w:rPr>
        <w:t>)</w:t>
      </w:r>
    </w:p>
    <w:p w14:paraId="433A718D" w14:textId="77777777" w:rsidR="003029D9" w:rsidRPr="0026257C" w:rsidRDefault="003029D9" w:rsidP="003029D9">
      <w:pPr>
        <w:jc w:val="both"/>
        <w:rPr>
          <w:rFonts w:asciiTheme="majorHAnsi" w:hAnsiTheme="majorHAnsi" w:cstheme="majorHAnsi"/>
          <w:sz w:val="20"/>
          <w:szCs w:val="20"/>
        </w:rPr>
      </w:pPr>
    </w:p>
    <w:p w14:paraId="103E9473" w14:textId="4696D13F" w:rsidR="00B35090" w:rsidRPr="0026257C" w:rsidRDefault="006A54F5" w:rsidP="00DC1100">
      <w:pPr>
        <w:pStyle w:val="Akapitzlist"/>
        <w:numPr>
          <w:ilvl w:val="2"/>
          <w:numId w:val="27"/>
        </w:numPr>
        <w:suppressAutoHyphens/>
        <w:ind w:left="993" w:hanging="284"/>
        <w:jc w:val="both"/>
        <w:rPr>
          <w:rFonts w:asciiTheme="majorHAnsi" w:hAnsiTheme="majorHAnsi" w:cstheme="majorHAnsi"/>
          <w:sz w:val="20"/>
          <w:szCs w:val="20"/>
        </w:rPr>
      </w:pPr>
      <w:r w:rsidRPr="0026257C">
        <w:rPr>
          <w:rFonts w:asciiTheme="majorHAnsi" w:hAnsiTheme="majorHAnsi" w:cstheme="majorHAnsi"/>
          <w:sz w:val="20"/>
          <w:szCs w:val="20"/>
        </w:rPr>
        <w:t xml:space="preserve">Kryterium termin gwarancji (TG) </w:t>
      </w:r>
      <w:r w:rsidR="00B35090" w:rsidRPr="0026257C">
        <w:rPr>
          <w:rFonts w:asciiTheme="majorHAnsi" w:hAnsiTheme="majorHAnsi" w:cstheme="majorHAnsi"/>
          <w:sz w:val="20"/>
          <w:szCs w:val="20"/>
        </w:rPr>
        <w:t xml:space="preserve">będzie rozpatrywana na podstawie oświadczenia Wykonawcy zawartego w ofercie: </w:t>
      </w:r>
    </w:p>
    <w:p w14:paraId="1BA200D1"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Oferty ocenione zostaną wg poniższego wzoru:</w:t>
      </w:r>
    </w:p>
    <w:p w14:paraId="31060F25" w14:textId="77777777" w:rsidR="00DC1100" w:rsidRPr="00DC1100" w:rsidRDefault="00DC1100" w:rsidP="00DC1100">
      <w:pPr>
        <w:pStyle w:val="Akapitzlist"/>
        <w:suppressAutoHyphens/>
        <w:ind w:left="720"/>
        <w:jc w:val="both"/>
        <w:rPr>
          <w:rFonts w:asciiTheme="majorHAnsi" w:hAnsiTheme="majorHAnsi" w:cs="Arial"/>
          <w:sz w:val="20"/>
          <w:szCs w:val="20"/>
        </w:rPr>
      </w:pPr>
    </w:p>
    <w:p w14:paraId="507FC147" w14:textId="77777777" w:rsidR="00DC1100" w:rsidRPr="00DC1100" w:rsidRDefault="00DC1100" w:rsidP="00DC1100">
      <w:pPr>
        <w:pStyle w:val="Akapitzlist"/>
        <w:suppressAutoHyphens/>
        <w:ind w:left="3552" w:firstLine="696"/>
        <w:jc w:val="both"/>
        <w:rPr>
          <w:rFonts w:asciiTheme="majorHAnsi" w:hAnsiTheme="majorHAnsi" w:cs="Arial"/>
          <w:sz w:val="20"/>
          <w:szCs w:val="20"/>
        </w:rPr>
      </w:pPr>
      <w:r w:rsidRPr="00DC1100">
        <w:rPr>
          <w:rFonts w:asciiTheme="majorHAnsi" w:hAnsiTheme="majorHAnsi" w:cs="Arial"/>
          <w:sz w:val="20"/>
          <w:szCs w:val="20"/>
        </w:rPr>
        <w:t>TG</w:t>
      </w:r>
      <w:r w:rsidRPr="00DC1100">
        <w:rPr>
          <w:rFonts w:asciiTheme="majorHAnsi" w:hAnsiTheme="majorHAnsi" w:cs="Arial"/>
          <w:sz w:val="20"/>
          <w:szCs w:val="20"/>
          <w:vertAlign w:val="subscript"/>
        </w:rPr>
        <w:t>OC</w:t>
      </w:r>
    </w:p>
    <w:p w14:paraId="50269B88"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Liczba punktów oferty (TG) =</w:t>
      </w:r>
      <w:r w:rsidRPr="00DC1100">
        <w:rPr>
          <w:rFonts w:asciiTheme="majorHAnsi" w:hAnsiTheme="majorHAnsi" w:cs="Arial"/>
          <w:sz w:val="20"/>
          <w:szCs w:val="20"/>
        </w:rPr>
        <w:tab/>
        <w:t>------------------------- x 100 pkt x 40%</w:t>
      </w:r>
    </w:p>
    <w:p w14:paraId="742988F8"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ab/>
      </w:r>
      <w:r w:rsidRPr="00DC1100">
        <w:rPr>
          <w:rFonts w:asciiTheme="majorHAnsi" w:hAnsiTheme="majorHAnsi" w:cs="Arial"/>
          <w:sz w:val="20"/>
          <w:szCs w:val="20"/>
        </w:rPr>
        <w:tab/>
      </w:r>
      <w:r w:rsidRPr="00DC1100">
        <w:rPr>
          <w:rFonts w:asciiTheme="majorHAnsi" w:hAnsiTheme="majorHAnsi" w:cs="Arial"/>
          <w:sz w:val="20"/>
          <w:szCs w:val="20"/>
        </w:rPr>
        <w:tab/>
        <w:t xml:space="preserve">                          </w:t>
      </w:r>
      <w:r w:rsidRPr="00DC1100">
        <w:rPr>
          <w:rFonts w:asciiTheme="majorHAnsi" w:hAnsiTheme="majorHAnsi" w:cs="Arial"/>
          <w:sz w:val="20"/>
          <w:szCs w:val="20"/>
        </w:rPr>
        <w:tab/>
        <w:t>TG</w:t>
      </w:r>
      <w:r w:rsidRPr="00DC1100">
        <w:rPr>
          <w:rFonts w:asciiTheme="majorHAnsi" w:hAnsiTheme="majorHAnsi" w:cs="Arial"/>
          <w:sz w:val="20"/>
          <w:szCs w:val="20"/>
          <w:vertAlign w:val="subscript"/>
        </w:rPr>
        <w:t>NTG</w:t>
      </w:r>
    </w:p>
    <w:p w14:paraId="787886C1" w14:textId="77777777" w:rsidR="00DC1100" w:rsidRPr="00DC1100" w:rsidRDefault="00DC1100" w:rsidP="00DC1100">
      <w:pPr>
        <w:pStyle w:val="Akapitzlist"/>
        <w:suppressAutoHyphens/>
        <w:ind w:left="720"/>
        <w:jc w:val="both"/>
        <w:rPr>
          <w:rFonts w:asciiTheme="majorHAnsi" w:hAnsiTheme="majorHAnsi" w:cs="Arial"/>
          <w:sz w:val="20"/>
          <w:szCs w:val="20"/>
        </w:rPr>
      </w:pPr>
    </w:p>
    <w:p w14:paraId="42D69346"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gdzie:</w:t>
      </w:r>
    </w:p>
    <w:p w14:paraId="3CDCB354"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TG</w:t>
      </w:r>
      <w:r w:rsidRPr="00DC1100">
        <w:rPr>
          <w:rFonts w:asciiTheme="majorHAnsi" w:hAnsiTheme="majorHAnsi" w:cs="Arial"/>
          <w:sz w:val="20"/>
          <w:szCs w:val="20"/>
          <w:vertAlign w:val="subscript"/>
        </w:rPr>
        <w:t>OC</w:t>
      </w:r>
      <w:r w:rsidRPr="00DC1100">
        <w:rPr>
          <w:rFonts w:asciiTheme="majorHAnsi" w:hAnsiTheme="majorHAnsi" w:cs="Arial"/>
          <w:sz w:val="20"/>
          <w:szCs w:val="20"/>
        </w:rPr>
        <w:t xml:space="preserve"> - termin gwarancji oferty ocenianej</w:t>
      </w:r>
    </w:p>
    <w:p w14:paraId="79D8819E" w14:textId="77777777" w:rsidR="00DC1100" w:rsidRPr="00DC1100" w:rsidRDefault="00DC1100" w:rsidP="00DC1100">
      <w:pPr>
        <w:pStyle w:val="Akapitzlist"/>
        <w:suppressAutoHyphens/>
        <w:ind w:left="720"/>
        <w:jc w:val="both"/>
        <w:rPr>
          <w:rFonts w:asciiTheme="majorHAnsi" w:hAnsiTheme="majorHAnsi" w:cs="Arial"/>
          <w:sz w:val="20"/>
          <w:szCs w:val="20"/>
        </w:rPr>
      </w:pPr>
      <w:r w:rsidRPr="00DC1100">
        <w:rPr>
          <w:rFonts w:asciiTheme="majorHAnsi" w:hAnsiTheme="majorHAnsi" w:cs="Arial"/>
          <w:sz w:val="20"/>
          <w:szCs w:val="20"/>
        </w:rPr>
        <w:t>TG</w:t>
      </w:r>
      <w:r w:rsidRPr="00DC1100">
        <w:rPr>
          <w:rFonts w:asciiTheme="majorHAnsi" w:hAnsiTheme="majorHAnsi" w:cs="Arial"/>
          <w:sz w:val="20"/>
          <w:szCs w:val="20"/>
          <w:vertAlign w:val="subscript"/>
        </w:rPr>
        <w:t>NTG</w:t>
      </w:r>
      <w:r w:rsidRPr="00DC1100">
        <w:rPr>
          <w:rFonts w:asciiTheme="majorHAnsi" w:hAnsiTheme="majorHAnsi" w:cs="Arial"/>
          <w:sz w:val="20"/>
          <w:szCs w:val="20"/>
        </w:rPr>
        <w:t xml:space="preserve"> – najdłuższy termin gwarancji</w:t>
      </w:r>
    </w:p>
    <w:p w14:paraId="01F17E04" w14:textId="77777777" w:rsidR="00DC1100" w:rsidRPr="00DC1100" w:rsidRDefault="00DC1100" w:rsidP="00DC1100">
      <w:pPr>
        <w:pStyle w:val="Akapitzlist"/>
        <w:tabs>
          <w:tab w:val="left" w:pos="3402"/>
        </w:tabs>
        <w:ind w:left="720"/>
        <w:rPr>
          <w:rFonts w:asciiTheme="majorHAnsi" w:hAnsiTheme="majorHAnsi" w:cs="Arial Narrow"/>
          <w:sz w:val="20"/>
          <w:szCs w:val="20"/>
        </w:rPr>
      </w:pPr>
    </w:p>
    <w:p w14:paraId="27D3B446" w14:textId="77777777" w:rsidR="0026257C" w:rsidRPr="0026257C" w:rsidRDefault="0026257C" w:rsidP="0026257C">
      <w:pPr>
        <w:suppressAutoHyphens/>
        <w:ind w:left="993"/>
        <w:jc w:val="both"/>
        <w:rPr>
          <w:rFonts w:asciiTheme="majorHAnsi" w:hAnsiTheme="majorHAnsi" w:cstheme="majorHAnsi"/>
          <w:sz w:val="20"/>
          <w:szCs w:val="20"/>
        </w:rPr>
      </w:pPr>
    </w:p>
    <w:p w14:paraId="1CF8C999" w14:textId="77777777" w:rsidR="00B15222" w:rsidRPr="0026257C" w:rsidRDefault="00B15222" w:rsidP="00DC1100">
      <w:pPr>
        <w:numPr>
          <w:ilvl w:val="1"/>
          <w:numId w:val="28"/>
        </w:num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53C5A7F" w14:textId="77777777" w:rsidR="00DE6475" w:rsidRPr="0026257C" w:rsidRDefault="00B15222" w:rsidP="00DC1100">
      <w:pPr>
        <w:numPr>
          <w:ilvl w:val="1"/>
          <w:numId w:val="28"/>
        </w:num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Obliczenia dokonywane będą z dokładnością do dwóch miejsc po przecinku, zgodnie z matematycznymi zasadami zaokrąglania.</w:t>
      </w:r>
    </w:p>
    <w:p w14:paraId="4DCE1FCC" w14:textId="69587EA5" w:rsidR="00552FBA" w:rsidRPr="0026257C" w:rsidRDefault="00552FBA" w:rsidP="00DC1100">
      <w:pPr>
        <w:numPr>
          <w:ilvl w:val="1"/>
          <w:numId w:val="28"/>
        </w:numPr>
        <w:suppressAutoHyphens/>
        <w:ind w:left="709"/>
        <w:jc w:val="both"/>
        <w:rPr>
          <w:rFonts w:asciiTheme="majorHAnsi" w:hAnsiTheme="majorHAnsi" w:cstheme="majorHAnsi"/>
          <w:sz w:val="20"/>
          <w:szCs w:val="20"/>
        </w:rPr>
      </w:pPr>
      <w:r w:rsidRPr="0026257C">
        <w:rPr>
          <w:rFonts w:asciiTheme="majorHAnsi" w:hAnsiTheme="majorHAnsi" w:cstheme="majorHAnsi"/>
          <w:sz w:val="20"/>
          <w:szCs w:val="20"/>
        </w:rPr>
        <w:t xml:space="preserve">Zamawiający </w:t>
      </w:r>
      <w:r w:rsidRPr="0026257C">
        <w:rPr>
          <w:rFonts w:asciiTheme="majorHAnsi" w:hAnsiTheme="majorHAnsi" w:cstheme="majorHAnsi"/>
          <w:b/>
          <w:sz w:val="20"/>
          <w:szCs w:val="20"/>
        </w:rPr>
        <w:t>nie przewiduje</w:t>
      </w:r>
      <w:r w:rsidR="00E52C3B" w:rsidRPr="0026257C">
        <w:rPr>
          <w:rFonts w:asciiTheme="majorHAnsi" w:hAnsiTheme="majorHAnsi" w:cstheme="majorHAnsi"/>
          <w:b/>
          <w:sz w:val="20"/>
          <w:szCs w:val="20"/>
        </w:rPr>
        <w:t xml:space="preserve"> </w:t>
      </w:r>
      <w:r w:rsidRPr="0026257C">
        <w:rPr>
          <w:rFonts w:asciiTheme="majorHAnsi" w:hAnsiTheme="majorHAnsi" w:cstheme="majorHAnsi"/>
          <w:sz w:val="20"/>
          <w:szCs w:val="20"/>
        </w:rPr>
        <w:t>przeprowadzenia dogrywki w formie aukcji elektronicznej.</w:t>
      </w:r>
    </w:p>
    <w:p w14:paraId="4FADE450" w14:textId="77777777" w:rsidR="005B6357" w:rsidRPr="00E65B89" w:rsidRDefault="005B6357" w:rsidP="002E374F">
      <w:pPr>
        <w:spacing w:after="40"/>
        <w:jc w:val="both"/>
        <w:rPr>
          <w:rFonts w:asciiTheme="majorHAnsi" w:hAnsiTheme="majorHAnsi" w:cstheme="majorHAns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w:t>
      </w:r>
      <w:r w:rsidRPr="00E65B89">
        <w:rPr>
          <w:rFonts w:asciiTheme="majorHAnsi" w:hAnsiTheme="majorHAnsi" w:cstheme="majorHAnsi"/>
          <w:sz w:val="20"/>
          <w:szCs w:val="20"/>
        </w:rPr>
        <w:lastRenderedPageBreak/>
        <w:t>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1" w:name="_Hlk35435797"/>
      <w:r w:rsidRPr="00E65B89">
        <w:rPr>
          <w:rFonts w:asciiTheme="majorHAnsi" w:hAnsiTheme="majorHAnsi" w:cstheme="majorHAnsi"/>
          <w:b/>
          <w:sz w:val="20"/>
          <w:szCs w:val="20"/>
        </w:rPr>
        <w:t>zabezpieczenia należytego wykonania umowy.</w:t>
      </w:r>
      <w:bookmarkEnd w:id="1"/>
    </w:p>
    <w:p w14:paraId="49C85DA3" w14:textId="0D85F46E"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sidR="00750B3F" w:rsidRPr="00750B3F">
        <w:rPr>
          <w:rFonts w:asciiTheme="majorHAnsi" w:hAnsiTheme="majorHAnsi" w:cstheme="majorHAnsi"/>
          <w:b/>
          <w:bCs/>
          <w:sz w:val="20"/>
          <w:szCs w:val="20"/>
        </w:rPr>
        <w:t>5</w:t>
      </w:r>
      <w:r w:rsidRPr="00EA5C8D">
        <w:rPr>
          <w:rFonts w:asciiTheme="majorHAnsi" w:hAnsiTheme="majorHAnsi" w:cstheme="majorHAnsi"/>
          <w:b/>
          <w:sz w:val="20"/>
          <w:szCs w:val="20"/>
        </w:rPr>
        <w:t xml:space="preserve"> % ceny całkowitej brutto</w:t>
      </w:r>
      <w:r w:rsidRPr="00EA5C8D">
        <w:rPr>
          <w:rFonts w:asciiTheme="majorHAnsi" w:hAnsiTheme="majorHAnsi" w:cstheme="majorHAnsi"/>
          <w:sz w:val="20"/>
          <w:szCs w:val="20"/>
        </w:rPr>
        <w:t xml:space="preserve"> podanej w ofercie. </w:t>
      </w:r>
    </w:p>
    <w:p w14:paraId="26BD0365"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może być wnoszone według wyboru Wykonawcy w jednej lub w kilku następujących formach:</w:t>
      </w:r>
    </w:p>
    <w:p w14:paraId="3C37F09D"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pieniądzu;</w:t>
      </w:r>
    </w:p>
    <w:p w14:paraId="49169658"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292899C"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gwarancjach bankowych;</w:t>
      </w:r>
    </w:p>
    <w:p w14:paraId="4AB5DEC4"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gwarancjach ubezpieczeniowych;</w:t>
      </w:r>
    </w:p>
    <w:p w14:paraId="3E2FEEC8" w14:textId="77777777" w:rsidR="00EA5C8D" w:rsidRPr="00EA5C8D" w:rsidRDefault="00EA5C8D" w:rsidP="00DC1100">
      <w:pPr>
        <w:numPr>
          <w:ilvl w:val="0"/>
          <w:numId w:val="39"/>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4FE83683"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 xml:space="preserve">Zamawiający </w:t>
      </w:r>
      <w:r w:rsidRPr="00EA5C8D">
        <w:rPr>
          <w:rFonts w:asciiTheme="majorHAnsi" w:hAnsiTheme="majorHAnsi" w:cstheme="majorHAnsi"/>
          <w:b/>
          <w:sz w:val="20"/>
          <w:szCs w:val="20"/>
        </w:rPr>
        <w:t xml:space="preserve">nie wyraża </w:t>
      </w:r>
      <w:r w:rsidRPr="00EA5C8D">
        <w:rPr>
          <w:rFonts w:asciiTheme="majorHAnsi" w:hAnsiTheme="majorHAnsi" w:cstheme="majorHAnsi"/>
          <w:sz w:val="20"/>
          <w:szCs w:val="20"/>
        </w:rPr>
        <w:t>zgody na wniesienie zabezpieczenia w formach określonych art. 148 ust. 2 ustawy PZP.</w:t>
      </w:r>
    </w:p>
    <w:p w14:paraId="1A8020D9"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wnoszone w pieniądzu Wykonawca wpłaca przelewem na rachunek bankowy wskazany przez Zamawiającego</w:t>
      </w:r>
      <w:r w:rsidRPr="00EA5C8D">
        <w:rPr>
          <w:rFonts w:asciiTheme="majorHAnsi" w:hAnsiTheme="majorHAnsi" w:cstheme="majorHAnsi"/>
          <w:b/>
          <w:sz w:val="20"/>
          <w:szCs w:val="20"/>
        </w:rPr>
        <w:t xml:space="preserve">: Ludowy Bank Spółdzielczy w Zduńskiej Woli Nr konta 81 9279 0007 0071 1166 2000 0120 </w:t>
      </w:r>
      <w:r w:rsidRPr="00EA5C8D">
        <w:rPr>
          <w:rFonts w:asciiTheme="majorHAnsi" w:hAnsiTheme="majorHAnsi" w:cstheme="majorHAnsi"/>
          <w:sz w:val="20"/>
          <w:szCs w:val="20"/>
        </w:rPr>
        <w:t xml:space="preserve">a wnoszone w innej formie należy składać w </w:t>
      </w:r>
      <w:r w:rsidRPr="00EA5C8D">
        <w:rPr>
          <w:rFonts w:asciiTheme="majorHAnsi" w:hAnsiTheme="majorHAnsi" w:cstheme="majorHAnsi"/>
          <w:b/>
          <w:sz w:val="20"/>
          <w:szCs w:val="20"/>
        </w:rPr>
        <w:t>Kasie Urzędu Miasta Zduńska Wola (budynek nr 4, parter, pokój nr 411).</w:t>
      </w:r>
    </w:p>
    <w:p w14:paraId="4078F5D4"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należy wnieść w całości przed zawarciem umowy.</w:t>
      </w:r>
    </w:p>
    <w:p w14:paraId="7B7BAD6A"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Zabezpieczenie wnoszone w formie poręczenia lub gwarancji musi zawierać następujące elementy:</w:t>
      </w:r>
    </w:p>
    <w:p w14:paraId="52B8AED2"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Nazwę wykonawcy i jego siedzibę (adres) – zgodne z informacjami podanymi w ofercie,</w:t>
      </w:r>
    </w:p>
    <w:p w14:paraId="12179D1C"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Nazwę Beneficjenta (Zamawiającego),</w:t>
      </w:r>
    </w:p>
    <w:p w14:paraId="2EF30773"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Nazwę Gwaranta lub Poręczyciela,</w:t>
      </w:r>
    </w:p>
    <w:p w14:paraId="3C719D2C"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Określać wierzytelność, która ma być zabezpieczona gwarancją,</w:t>
      </w:r>
    </w:p>
    <w:p w14:paraId="6DA76504"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49DB47F5"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7C64656E" w14:textId="77777777" w:rsidR="00EA5C8D" w:rsidRPr="00EA5C8D" w:rsidRDefault="00EA5C8D" w:rsidP="00DC1100">
      <w:pPr>
        <w:numPr>
          <w:ilvl w:val="0"/>
          <w:numId w:val="41"/>
        </w:numPr>
        <w:spacing w:after="40"/>
        <w:ind w:left="1276"/>
        <w:jc w:val="both"/>
        <w:rPr>
          <w:rFonts w:asciiTheme="majorHAnsi" w:hAnsiTheme="majorHAnsi" w:cstheme="majorHAnsi"/>
          <w:sz w:val="20"/>
          <w:szCs w:val="20"/>
        </w:rPr>
      </w:pPr>
      <w:r w:rsidRPr="00EA5C8D">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32942E97" w14:textId="77777777" w:rsidR="00EA5C8D" w:rsidRPr="00EA5C8D" w:rsidRDefault="00EA5C8D" w:rsidP="00DC1100">
      <w:pPr>
        <w:numPr>
          <w:ilvl w:val="0"/>
          <w:numId w:val="41"/>
        </w:numPr>
        <w:spacing w:after="40"/>
        <w:ind w:left="1276"/>
        <w:jc w:val="both"/>
        <w:rPr>
          <w:rFonts w:asciiTheme="majorHAnsi" w:hAnsiTheme="majorHAnsi" w:cstheme="majorHAnsi"/>
          <w:sz w:val="20"/>
          <w:szCs w:val="20"/>
        </w:rPr>
      </w:pPr>
      <w:r w:rsidRPr="00EA5C8D">
        <w:rPr>
          <w:rFonts w:asciiTheme="majorHAnsi" w:hAnsiTheme="majorHAnsi" w:cstheme="majorHAnsi"/>
          <w:sz w:val="20"/>
          <w:szCs w:val="20"/>
        </w:rPr>
        <w:t>czas niezbędny do uznania przesyłki za dostarczoną tj. 14 dni w przypadku podwójnego jej awizowania;</w:t>
      </w:r>
    </w:p>
    <w:p w14:paraId="79CC139E" w14:textId="77777777" w:rsidR="00EA5C8D" w:rsidRPr="00EA5C8D" w:rsidRDefault="00EA5C8D" w:rsidP="00DC1100">
      <w:pPr>
        <w:numPr>
          <w:ilvl w:val="0"/>
          <w:numId w:val="41"/>
        </w:numPr>
        <w:spacing w:after="40"/>
        <w:ind w:left="1276"/>
        <w:jc w:val="both"/>
        <w:rPr>
          <w:rFonts w:asciiTheme="majorHAnsi" w:hAnsiTheme="majorHAnsi" w:cstheme="majorHAnsi"/>
          <w:sz w:val="20"/>
          <w:szCs w:val="20"/>
        </w:rPr>
      </w:pPr>
      <w:r w:rsidRPr="00EA5C8D">
        <w:rPr>
          <w:rFonts w:asciiTheme="majorHAnsi" w:hAnsiTheme="majorHAnsi" w:cstheme="majorHAnsi"/>
          <w:sz w:val="20"/>
          <w:szCs w:val="20"/>
        </w:rPr>
        <w:t>7 dniowy termin na uregulowanie należności przez Wykonawcę liczony od dnia otrzymania przez Wykonawcę pisemnego wezwania do zapłaty;</w:t>
      </w:r>
    </w:p>
    <w:p w14:paraId="2519A084" w14:textId="77777777" w:rsidR="00EA5C8D" w:rsidRPr="00EA5C8D" w:rsidRDefault="00EA5C8D" w:rsidP="00EA5C8D">
      <w:pPr>
        <w:spacing w:after="40"/>
        <w:ind w:left="916"/>
        <w:jc w:val="both"/>
        <w:rPr>
          <w:rFonts w:asciiTheme="majorHAnsi" w:hAnsiTheme="majorHAnsi" w:cstheme="majorHAnsi"/>
          <w:sz w:val="20"/>
          <w:szCs w:val="20"/>
        </w:rPr>
      </w:pPr>
      <w:r w:rsidRPr="00EA5C8D">
        <w:rPr>
          <w:rFonts w:asciiTheme="majorHAnsi" w:hAnsiTheme="majorHAnsi" w:cstheme="majorHAnsi"/>
          <w:sz w:val="20"/>
          <w:szCs w:val="20"/>
        </w:rPr>
        <w:t>Ponadto termin ten musi uwzględniać wszystkie zapisy umowy.</w:t>
      </w:r>
    </w:p>
    <w:p w14:paraId="632FB534"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 xml:space="preserve">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w:t>
      </w:r>
      <w:proofErr w:type="spellStart"/>
      <w:r w:rsidRPr="00EA5C8D">
        <w:rPr>
          <w:rFonts w:asciiTheme="majorHAnsi" w:hAnsiTheme="majorHAnsi" w:cstheme="majorHAnsi"/>
          <w:sz w:val="20"/>
          <w:szCs w:val="20"/>
        </w:rPr>
        <w:t>ppkt</w:t>
      </w:r>
      <w:proofErr w:type="spellEnd"/>
      <w:r w:rsidRPr="00EA5C8D">
        <w:rPr>
          <w:rFonts w:asciiTheme="majorHAnsi" w:hAnsiTheme="majorHAnsi" w:cstheme="majorHAnsi"/>
          <w:sz w:val="20"/>
          <w:szCs w:val="20"/>
        </w:rPr>
        <w:t xml:space="preserve"> 6. Termin ważności gwarancji musi uwzględniać wszystkie zapisy umowy.</w:t>
      </w:r>
    </w:p>
    <w:p w14:paraId="38477025" w14:textId="77777777" w:rsidR="00EA5C8D" w:rsidRPr="00EA5C8D" w:rsidRDefault="00EA5C8D" w:rsidP="00DC1100">
      <w:pPr>
        <w:numPr>
          <w:ilvl w:val="0"/>
          <w:numId w:val="40"/>
        </w:numPr>
        <w:spacing w:after="40"/>
        <w:ind w:left="851"/>
        <w:jc w:val="both"/>
        <w:rPr>
          <w:rFonts w:asciiTheme="majorHAnsi" w:hAnsiTheme="majorHAnsi" w:cstheme="majorHAnsi"/>
          <w:sz w:val="20"/>
          <w:szCs w:val="20"/>
        </w:rPr>
      </w:pPr>
      <w:r w:rsidRPr="00EA5C8D">
        <w:rPr>
          <w:rFonts w:asciiTheme="majorHAnsi" w:hAnsiTheme="majorHAnsi" w:cstheme="maj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7A616A2"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W przypadku, gdy zabezpieczenie, będzie wnoszone w formie innej niż pieniądz, Zamawiający zastrzega sobie prawo do akceptacji projektu ww. dokumentu.</w:t>
      </w:r>
    </w:p>
    <w:p w14:paraId="29BEFA80" w14:textId="77777777" w:rsidR="00EA5C8D" w:rsidRPr="00EA5C8D" w:rsidRDefault="00EA5C8D" w:rsidP="00DC1100">
      <w:pPr>
        <w:numPr>
          <w:ilvl w:val="1"/>
          <w:numId w:val="38"/>
        </w:numPr>
        <w:tabs>
          <w:tab w:val="num" w:pos="426"/>
        </w:tabs>
        <w:spacing w:after="40"/>
        <w:ind w:left="426" w:hanging="426"/>
        <w:jc w:val="both"/>
        <w:rPr>
          <w:rFonts w:asciiTheme="majorHAnsi" w:hAnsiTheme="majorHAnsi" w:cstheme="majorHAnsi"/>
          <w:sz w:val="20"/>
          <w:szCs w:val="20"/>
        </w:rPr>
      </w:pPr>
      <w:r w:rsidRPr="00EA5C8D">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EA5C8D">
        <w:t xml:space="preserve"> </w:t>
      </w:r>
      <w:r w:rsidRPr="00EA5C8D">
        <w:rPr>
          <w:rFonts w:asciiTheme="majorHAnsi" w:hAnsiTheme="majorHAnsi" w:cstheme="majorHAnsi"/>
          <w:sz w:val="20"/>
          <w:szCs w:val="20"/>
        </w:rPr>
        <w:t>w przypadku nie skorzystania z zabezpieczenia przez Zamawiającego</w:t>
      </w:r>
    </w:p>
    <w:p w14:paraId="178373D1" w14:textId="14CA53DE" w:rsidR="001F3B27" w:rsidRDefault="001F3B27" w:rsidP="002E374F">
      <w:pPr>
        <w:spacing w:after="40"/>
        <w:jc w:val="both"/>
        <w:rPr>
          <w:rFonts w:asciiTheme="majorHAnsi" w:hAnsiTheme="majorHAnsi" w:cstheme="majorHAnsi"/>
          <w:b/>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6006BD29"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Wzór umowy, stanowi</w:t>
      </w:r>
      <w:r w:rsidR="002D5C43" w:rsidRPr="00E65B89">
        <w:rPr>
          <w:rFonts w:asciiTheme="majorHAnsi" w:hAnsiTheme="majorHAnsi" w:cstheme="majorHAnsi"/>
          <w:b w:val="0"/>
        </w:rPr>
        <w:t>ą</w:t>
      </w:r>
      <w:r w:rsidRPr="00E65B89">
        <w:rPr>
          <w:rFonts w:asciiTheme="majorHAnsi" w:hAnsiTheme="majorHAnsi" w:cstheme="majorHAnsi"/>
          <w:b w:val="0"/>
        </w:rPr>
        <w:t xml:space="preserve"> </w:t>
      </w:r>
      <w:r w:rsidRPr="00E65B89">
        <w:rPr>
          <w:rFonts w:asciiTheme="majorHAnsi" w:hAnsiTheme="majorHAnsi" w:cstheme="majorHAnsi"/>
        </w:rPr>
        <w:t>Załącznik</w:t>
      </w:r>
      <w:r w:rsidR="002D5C43" w:rsidRPr="00E65B89">
        <w:rPr>
          <w:rFonts w:asciiTheme="majorHAnsi" w:hAnsiTheme="majorHAnsi" w:cstheme="majorHAnsi"/>
        </w:rPr>
        <w:t>i</w:t>
      </w:r>
      <w:r w:rsidRPr="00E65B89">
        <w:rPr>
          <w:rFonts w:asciiTheme="majorHAnsi" w:hAnsiTheme="majorHAnsi" w:cstheme="majorHAnsi"/>
        </w:rPr>
        <w:t xml:space="preserve">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DC1100">
        <w:rPr>
          <w:rFonts w:asciiTheme="majorHAnsi" w:hAnsiTheme="majorHAnsi" w:cstheme="majorHAnsi"/>
        </w:rPr>
        <w:t>A i 4B</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0156D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156A3B9" w14:textId="3CC13110" w:rsidR="006629DC" w:rsidRPr="00E65B89" w:rsidRDefault="006629DC" w:rsidP="000156DD">
      <w:pPr>
        <w:keepNext/>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t>
      </w:r>
      <w:r w:rsidR="0018757C">
        <w:rPr>
          <w:rFonts w:asciiTheme="majorHAnsi" w:hAnsiTheme="majorHAnsi" w:cstheme="majorHAnsi"/>
          <w:sz w:val="20"/>
          <w:szCs w:val="20"/>
        </w:rPr>
        <w:br/>
      </w:r>
      <w:r w:rsidRPr="00E65B89">
        <w:rPr>
          <w:rFonts w:asciiTheme="majorHAnsi" w:hAnsiTheme="majorHAnsi" w:cstheme="majorHAnsi"/>
          <w:sz w:val="20"/>
          <w:szCs w:val="20"/>
        </w:rPr>
        <w:t xml:space="preserve">w sprawie ochrony osób fizycznych w związku z przetwarzaniem danych osobowych i w sprawie swobodnego przepływu takich danych oraz uchylenia dyrektywy 95/46/WE (ogólne rozporządzenie o ochronie danych) (Dz. Urz. UE L 119 </w:t>
      </w:r>
      <w:r w:rsidR="0018757C">
        <w:rPr>
          <w:rFonts w:asciiTheme="majorHAnsi" w:hAnsiTheme="majorHAnsi" w:cstheme="majorHAnsi"/>
          <w:sz w:val="20"/>
          <w:szCs w:val="20"/>
        </w:rPr>
        <w:br/>
      </w:r>
      <w:r w:rsidRPr="00E65B89">
        <w:rPr>
          <w:rFonts w:asciiTheme="majorHAnsi" w:hAnsiTheme="majorHAnsi" w:cstheme="majorHAnsi"/>
          <w:sz w:val="20"/>
          <w:szCs w:val="20"/>
        </w:rPr>
        <w:t xml:space="preserve">z 04.05.2016, str. 1), dalej „RODO”, informuję, że: </w:t>
      </w:r>
    </w:p>
    <w:p w14:paraId="63D3C852" w14:textId="77777777" w:rsidR="006629DC" w:rsidRPr="00E65B89" w:rsidRDefault="006629DC" w:rsidP="00DC1100">
      <w:pPr>
        <w:pStyle w:val="Akapitzlist"/>
        <w:numPr>
          <w:ilvl w:val="0"/>
          <w:numId w:val="34"/>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DC1100">
      <w:pPr>
        <w:pStyle w:val="Akapitzlist"/>
        <w:numPr>
          <w:ilvl w:val="0"/>
          <w:numId w:val="34"/>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12FD1A95" w:rsidR="006629DC" w:rsidRPr="00A429A3" w:rsidRDefault="006629DC" w:rsidP="00DC1100">
      <w:pPr>
        <w:pStyle w:val="Akapitzlist"/>
        <w:numPr>
          <w:ilvl w:val="0"/>
          <w:numId w:val="34"/>
        </w:numPr>
        <w:contextualSpacing/>
        <w:jc w:val="both"/>
        <w:rPr>
          <w:rFonts w:asciiTheme="majorHAnsi" w:hAnsiTheme="majorHAnsi" w:cstheme="majorHAnsi"/>
          <w:b/>
          <w:i/>
          <w:sz w:val="20"/>
          <w:szCs w:val="20"/>
        </w:rPr>
      </w:pPr>
      <w:r w:rsidRPr="00A429A3">
        <w:rPr>
          <w:rFonts w:asciiTheme="majorHAnsi" w:hAnsiTheme="majorHAnsi" w:cstheme="majorHAnsi"/>
          <w:sz w:val="20"/>
          <w:szCs w:val="20"/>
        </w:rPr>
        <w:t>Pani/Pana dane osobowe przetwarzane będą na podstawie art. 6 ust. 1 lit. c</w:t>
      </w:r>
      <w:r w:rsidRPr="00A429A3">
        <w:rPr>
          <w:rFonts w:asciiTheme="majorHAnsi" w:hAnsiTheme="majorHAnsi" w:cstheme="majorHAnsi"/>
          <w:i/>
          <w:sz w:val="20"/>
          <w:szCs w:val="20"/>
        </w:rPr>
        <w:t xml:space="preserve"> </w:t>
      </w:r>
      <w:r w:rsidRPr="00A429A3">
        <w:rPr>
          <w:rFonts w:asciiTheme="majorHAnsi" w:hAnsiTheme="majorHAnsi" w:cstheme="majorHAnsi"/>
          <w:sz w:val="20"/>
          <w:szCs w:val="20"/>
        </w:rPr>
        <w:t xml:space="preserve">RODO w celu związanym </w:t>
      </w:r>
      <w:r w:rsidR="0018757C" w:rsidRPr="00A429A3">
        <w:rPr>
          <w:rFonts w:asciiTheme="majorHAnsi" w:hAnsiTheme="majorHAnsi" w:cstheme="majorHAnsi"/>
          <w:sz w:val="20"/>
          <w:szCs w:val="20"/>
        </w:rPr>
        <w:br/>
      </w:r>
      <w:r w:rsidRPr="00A429A3">
        <w:rPr>
          <w:rFonts w:asciiTheme="majorHAnsi" w:hAnsiTheme="majorHAnsi" w:cstheme="majorHAnsi"/>
          <w:sz w:val="20"/>
          <w:szCs w:val="20"/>
        </w:rPr>
        <w:t xml:space="preserve">z postępowaniem o udzielenie zamówienia publicznego pn.: </w:t>
      </w:r>
      <w:r w:rsidR="00750B3F" w:rsidRPr="00750B3F">
        <w:rPr>
          <w:rFonts w:asciiTheme="majorHAnsi" w:hAnsiTheme="majorHAnsi" w:cstheme="majorHAnsi"/>
          <w:b/>
          <w:i/>
          <w:sz w:val="20"/>
          <w:szCs w:val="20"/>
        </w:rPr>
        <w:t>„</w:t>
      </w:r>
      <w:r w:rsidR="00B01BA4" w:rsidRPr="00B01BA4">
        <w:rPr>
          <w:rFonts w:asciiTheme="majorHAnsi" w:hAnsiTheme="majorHAnsi" w:cstheme="majorHAnsi"/>
          <w:b/>
          <w:i/>
          <w:sz w:val="20"/>
          <w:szCs w:val="20"/>
        </w:rPr>
        <w:t>Zagospodarowanie terenu wokół zbiornika Kępina</w:t>
      </w:r>
      <w:r w:rsidR="00750B3F" w:rsidRPr="00750B3F">
        <w:rPr>
          <w:rFonts w:asciiTheme="majorHAnsi" w:hAnsiTheme="majorHAnsi" w:cstheme="majorHAnsi"/>
          <w:b/>
          <w:i/>
          <w:sz w:val="20"/>
          <w:szCs w:val="20"/>
        </w:rPr>
        <w:t xml:space="preserve">” nr sprawy: </w:t>
      </w:r>
      <w:r w:rsidR="00B01BA4" w:rsidRPr="00B01BA4">
        <w:rPr>
          <w:rFonts w:asciiTheme="majorHAnsi" w:hAnsiTheme="majorHAnsi" w:cstheme="majorHAnsi"/>
          <w:b/>
          <w:i/>
          <w:sz w:val="20"/>
          <w:szCs w:val="20"/>
        </w:rPr>
        <w:t>IM.271.37.2020.WNK</w:t>
      </w:r>
      <w:r w:rsidR="0018757C" w:rsidRPr="00A429A3">
        <w:rPr>
          <w:rFonts w:asciiTheme="majorHAnsi" w:hAnsiTheme="majorHAnsi" w:cstheme="majorHAnsi"/>
          <w:b/>
          <w:i/>
          <w:sz w:val="20"/>
          <w:szCs w:val="20"/>
        </w:rPr>
        <w:t xml:space="preserve"> </w:t>
      </w:r>
      <w:r w:rsidRPr="00A429A3">
        <w:rPr>
          <w:rFonts w:asciiTheme="majorHAnsi" w:hAnsiTheme="majorHAnsi" w:cstheme="majorHAnsi"/>
          <w:sz w:val="20"/>
          <w:szCs w:val="20"/>
        </w:rPr>
        <w:t>prowadzonym w trybie przetargu nieograniczonego</w:t>
      </w:r>
      <w:r w:rsidR="005570F2" w:rsidRPr="00A429A3">
        <w:rPr>
          <w:rFonts w:asciiTheme="majorHAnsi" w:hAnsiTheme="majorHAnsi" w:cstheme="majorHAnsi"/>
          <w:sz w:val="20"/>
          <w:szCs w:val="20"/>
        </w:rPr>
        <w:t xml:space="preserve"> na podstawie ustawy PZP;</w:t>
      </w:r>
    </w:p>
    <w:p w14:paraId="0B32592D"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DC1100">
      <w:pPr>
        <w:pStyle w:val="Akapitzlist"/>
        <w:numPr>
          <w:ilvl w:val="0"/>
          <w:numId w:val="35"/>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DC1100">
      <w:pPr>
        <w:pStyle w:val="Akapitzlist"/>
        <w:numPr>
          <w:ilvl w:val="0"/>
          <w:numId w:val="35"/>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DC1100">
      <w:pPr>
        <w:pStyle w:val="Akapitzlist"/>
        <w:numPr>
          <w:ilvl w:val="0"/>
          <w:numId w:val="35"/>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DC1100">
      <w:pPr>
        <w:pStyle w:val="Akapitzlist"/>
        <w:numPr>
          <w:ilvl w:val="0"/>
          <w:numId w:val="35"/>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DC1100">
      <w:pPr>
        <w:pStyle w:val="Akapitzlist"/>
        <w:numPr>
          <w:ilvl w:val="0"/>
          <w:numId w:val="34"/>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DC1100">
      <w:pPr>
        <w:pStyle w:val="Akapitzlist"/>
        <w:numPr>
          <w:ilvl w:val="0"/>
          <w:numId w:val="36"/>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DC1100">
      <w:pPr>
        <w:pStyle w:val="Akapitzlist"/>
        <w:numPr>
          <w:ilvl w:val="0"/>
          <w:numId w:val="36"/>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DC1100">
      <w:pPr>
        <w:pStyle w:val="Akapitzlist"/>
        <w:numPr>
          <w:ilvl w:val="0"/>
          <w:numId w:val="36"/>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DC1100">
      <w:pPr>
        <w:pStyle w:val="Akapitzlist"/>
        <w:numPr>
          <w:ilvl w:val="0"/>
          <w:numId w:val="34"/>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DC1100">
      <w:pPr>
        <w:pStyle w:val="Akapitzlist"/>
        <w:numPr>
          <w:ilvl w:val="0"/>
          <w:numId w:val="34"/>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DC1100">
      <w:pPr>
        <w:pStyle w:val="Akapitzlist"/>
        <w:numPr>
          <w:ilvl w:val="0"/>
          <w:numId w:val="34"/>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 xml:space="preserve">o udzielenie zamówienia publicznego ani zmianą postanowień umowy w zakresie niezgodnym z ustawą </w:t>
      </w:r>
      <w:proofErr w:type="spellStart"/>
      <w:r w:rsidRPr="00E65B89">
        <w:rPr>
          <w:rFonts w:asciiTheme="majorHAnsi" w:hAnsiTheme="majorHAnsi" w:cstheme="majorHAnsi"/>
          <w:i/>
          <w:sz w:val="20"/>
          <w:szCs w:val="20"/>
        </w:rPr>
        <w:t>Pzp</w:t>
      </w:r>
      <w:proofErr w:type="spellEnd"/>
      <w:r w:rsidRPr="00E65B89">
        <w:rPr>
          <w:rFonts w:asciiTheme="majorHAnsi" w:hAnsiTheme="majorHAnsi" w:cstheme="majorHAnsi"/>
          <w:i/>
          <w:sz w:val="20"/>
          <w:szCs w:val="20"/>
        </w:rPr>
        <w:t xml:space="preserve">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w:t>
      </w:r>
      <w:r w:rsidRPr="00E65B89">
        <w:rPr>
          <w:rFonts w:asciiTheme="majorHAnsi" w:hAnsiTheme="majorHAnsi" w:cstheme="majorHAnsi"/>
          <w:sz w:val="20"/>
          <w:szCs w:val="20"/>
        </w:rPr>
        <w:lastRenderedPageBreak/>
        <w:t xml:space="preserve">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64344441" w14:textId="7A0978E7" w:rsidR="00B42A67" w:rsidRPr="0018757C" w:rsidRDefault="00552FBA" w:rsidP="001D4A9C">
      <w:pPr>
        <w:numPr>
          <w:ilvl w:val="0"/>
          <w:numId w:val="13"/>
        </w:numPr>
        <w:tabs>
          <w:tab w:val="clear" w:pos="1797"/>
          <w:tab w:val="num" w:pos="426"/>
        </w:tabs>
        <w:suppressAutoHyphens/>
        <w:spacing w:after="40"/>
        <w:ind w:left="425" w:hanging="425"/>
        <w:jc w:val="both"/>
        <w:rPr>
          <w:rFonts w:ascii="Arial" w:hAnsi="Arial" w:cs="Arial"/>
          <w:i/>
          <w:sz w:val="20"/>
          <w:szCs w:val="20"/>
        </w:rPr>
      </w:pPr>
      <w:r w:rsidRPr="0018757C">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sectPr w:rsidR="00B42A67" w:rsidRPr="0018757C" w:rsidSect="0092487D">
      <w:footerReference w:type="default" r:id="rId16"/>
      <w:pgSz w:w="11906" w:h="16838"/>
      <w:pgMar w:top="851" w:right="707" w:bottom="426" w:left="709"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2B58D9" w:rsidRDefault="002B58D9">
      <w:r>
        <w:separator/>
      </w:r>
    </w:p>
  </w:endnote>
  <w:endnote w:type="continuationSeparator" w:id="0">
    <w:p w14:paraId="179DE15F" w14:textId="77777777" w:rsidR="002B58D9" w:rsidRDefault="002B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2B58D9" w:rsidRPr="004F6956" w:rsidRDefault="002B58D9"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9171" w14:textId="38DF3040" w:rsidR="002B58D9" w:rsidRDefault="002B58D9"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2B58D9" w:rsidRPr="00F1652C" w:rsidRDefault="002B58D9"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2B58D9" w:rsidRDefault="002B58D9">
      <w:r>
        <w:separator/>
      </w:r>
    </w:p>
  </w:footnote>
  <w:footnote w:type="continuationSeparator" w:id="0">
    <w:p w14:paraId="06775DC1" w14:textId="77777777" w:rsidR="002B58D9" w:rsidRDefault="002B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2B58D9" w:rsidRPr="008474FD" w:rsidRDefault="002B58D9"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1F065229" w:rsidR="002B58D9" w:rsidRDefault="002B58D9">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AEBCE9DE"/>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6"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BE22A7"/>
    <w:multiLevelType w:val="hybridMultilevel"/>
    <w:tmpl w:val="468AAF00"/>
    <w:lvl w:ilvl="0" w:tplc="0415001B">
      <w:start w:val="1"/>
      <w:numFmt w:val="lowerRoman"/>
      <w:lvlText w:val="%1."/>
      <w:lvlJc w:val="righ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25"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3692753"/>
    <w:multiLevelType w:val="hybridMultilevel"/>
    <w:tmpl w:val="9F7AABC0"/>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2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15:restartNumberingAfterBreak="0">
    <w:nsid w:val="2B3D092D"/>
    <w:multiLevelType w:val="hybridMultilevel"/>
    <w:tmpl w:val="75E8D032"/>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F65969"/>
    <w:multiLevelType w:val="hybridMultilevel"/>
    <w:tmpl w:val="B402634A"/>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7"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EF3605"/>
    <w:multiLevelType w:val="hybridMultilevel"/>
    <w:tmpl w:val="1242AAE2"/>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1F6F91"/>
    <w:multiLevelType w:val="hybridMultilevel"/>
    <w:tmpl w:val="B840DCB4"/>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4043507"/>
    <w:multiLevelType w:val="hybridMultilevel"/>
    <w:tmpl w:val="FA2886DE"/>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56" w15:restartNumberingAfterBreak="0">
    <w:nsid w:val="6F26629E"/>
    <w:multiLevelType w:val="hybridMultilevel"/>
    <w:tmpl w:val="419A095A"/>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68F2966"/>
    <w:multiLevelType w:val="hybridMultilevel"/>
    <w:tmpl w:val="C0760CDE"/>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F46B51"/>
    <w:multiLevelType w:val="hybridMultilevel"/>
    <w:tmpl w:val="63B69912"/>
    <w:lvl w:ilvl="0" w:tplc="E098E88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4F6DE7"/>
    <w:multiLevelType w:val="hybridMultilevel"/>
    <w:tmpl w:val="EBAE3AC4"/>
    <w:lvl w:ilvl="0" w:tplc="04150011">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FF76C84"/>
    <w:multiLevelType w:val="hybridMultilevel"/>
    <w:tmpl w:val="7B4C720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40"/>
  </w:num>
  <w:num w:numId="3">
    <w:abstractNumId w:val="2"/>
  </w:num>
  <w:num w:numId="4">
    <w:abstractNumId w:val="1"/>
  </w:num>
  <w:num w:numId="5">
    <w:abstractNumId w:val="0"/>
  </w:num>
  <w:num w:numId="6">
    <w:abstractNumId w:val="54"/>
  </w:num>
  <w:num w:numId="7">
    <w:abstractNumId w:val="18"/>
  </w:num>
  <w:num w:numId="8">
    <w:abstractNumId w:val="21"/>
  </w:num>
  <w:num w:numId="9">
    <w:abstractNumId w:val="20"/>
  </w:num>
  <w:num w:numId="10">
    <w:abstractNumId w:val="25"/>
  </w:num>
  <w:num w:numId="11">
    <w:abstractNumId w:val="29"/>
  </w:num>
  <w:num w:numId="12">
    <w:abstractNumId w:val="48"/>
  </w:num>
  <w:num w:numId="13">
    <w:abstractNumId w:val="30"/>
  </w:num>
  <w:num w:numId="14">
    <w:abstractNumId w:val="38"/>
  </w:num>
  <w:num w:numId="15">
    <w:abstractNumId w:val="19"/>
  </w:num>
  <w:num w:numId="16">
    <w:abstractNumId w:val="36"/>
  </w:num>
  <w:num w:numId="17">
    <w:abstractNumId w:val="53"/>
  </w:num>
  <w:num w:numId="18">
    <w:abstractNumId w:val="47"/>
  </w:num>
  <w:num w:numId="19">
    <w:abstractNumId w:val="42"/>
  </w:num>
  <w:num w:numId="20">
    <w:abstractNumId w:val="45"/>
  </w:num>
  <w:num w:numId="21">
    <w:abstractNumId w:val="51"/>
  </w:num>
  <w:num w:numId="22">
    <w:abstractNumId w:val="31"/>
  </w:num>
  <w:num w:numId="23">
    <w:abstractNumId w:val="43"/>
  </w:num>
  <w:num w:numId="24">
    <w:abstractNumId w:val="49"/>
    <w:lvlOverride w:ilvl="0">
      <w:startOverride w:val="1"/>
    </w:lvlOverride>
  </w:num>
  <w:num w:numId="25">
    <w:abstractNumId w:val="39"/>
    <w:lvlOverride w:ilvl="0">
      <w:startOverride w:val="1"/>
    </w:lvlOverride>
  </w:num>
  <w:num w:numId="26">
    <w:abstractNumId w:val="26"/>
  </w:num>
  <w:num w:numId="27">
    <w:abstractNumId w:val="8"/>
  </w:num>
  <w:num w:numId="28">
    <w:abstractNumId w:val="50"/>
  </w:num>
  <w:num w:numId="29">
    <w:abstractNumId w:val="35"/>
  </w:num>
  <w:num w:numId="30">
    <w:abstractNumId w:val="24"/>
  </w:num>
  <w:num w:numId="31">
    <w:abstractNumId w:val="55"/>
  </w:num>
  <w:num w:numId="32">
    <w:abstractNumId w:val="37"/>
  </w:num>
  <w:num w:numId="33">
    <w:abstractNumId w:val="28"/>
  </w:num>
  <w:num w:numId="34">
    <w:abstractNumId w:val="59"/>
  </w:num>
  <w:num w:numId="35">
    <w:abstractNumId w:val="61"/>
  </w:num>
  <w:num w:numId="36">
    <w:abstractNumId w:val="44"/>
  </w:num>
  <w:num w:numId="37">
    <w:abstractNumId w:val="6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52"/>
  </w:num>
  <w:num w:numId="44">
    <w:abstractNumId w:val="41"/>
  </w:num>
  <w:num w:numId="45">
    <w:abstractNumId w:val="60"/>
  </w:num>
  <w:num w:numId="46">
    <w:abstractNumId w:val="34"/>
  </w:num>
  <w:num w:numId="47">
    <w:abstractNumId w:val="23"/>
  </w:num>
  <w:num w:numId="48">
    <w:abstractNumId w:val="58"/>
  </w:num>
  <w:num w:numId="49">
    <w:abstractNumId w:val="56"/>
  </w:num>
  <w:num w:numId="50">
    <w:abstractNumId w:val="32"/>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2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156DD"/>
    <w:rsid w:val="00023BF9"/>
    <w:rsid w:val="00030DA7"/>
    <w:rsid w:val="00032354"/>
    <w:rsid w:val="00034CF3"/>
    <w:rsid w:val="00035C77"/>
    <w:rsid w:val="0004136C"/>
    <w:rsid w:val="00043F50"/>
    <w:rsid w:val="00046B63"/>
    <w:rsid w:val="00063EED"/>
    <w:rsid w:val="00064F98"/>
    <w:rsid w:val="00066D57"/>
    <w:rsid w:val="0006713B"/>
    <w:rsid w:val="000705F5"/>
    <w:rsid w:val="00072739"/>
    <w:rsid w:val="000731B6"/>
    <w:rsid w:val="00075591"/>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454"/>
    <w:rsid w:val="00100534"/>
    <w:rsid w:val="00102490"/>
    <w:rsid w:val="00111BF7"/>
    <w:rsid w:val="00117BBF"/>
    <w:rsid w:val="00117C09"/>
    <w:rsid w:val="00121553"/>
    <w:rsid w:val="00125CC6"/>
    <w:rsid w:val="0012731F"/>
    <w:rsid w:val="00132082"/>
    <w:rsid w:val="001320C6"/>
    <w:rsid w:val="00135012"/>
    <w:rsid w:val="001371A8"/>
    <w:rsid w:val="001420C8"/>
    <w:rsid w:val="001440FD"/>
    <w:rsid w:val="001450BA"/>
    <w:rsid w:val="00145F02"/>
    <w:rsid w:val="0015189B"/>
    <w:rsid w:val="00155390"/>
    <w:rsid w:val="001578B6"/>
    <w:rsid w:val="0016517E"/>
    <w:rsid w:val="001757C0"/>
    <w:rsid w:val="00181B59"/>
    <w:rsid w:val="0018757C"/>
    <w:rsid w:val="00196740"/>
    <w:rsid w:val="00197571"/>
    <w:rsid w:val="001A1E1D"/>
    <w:rsid w:val="001A35B7"/>
    <w:rsid w:val="001A3C81"/>
    <w:rsid w:val="001A5259"/>
    <w:rsid w:val="001B0585"/>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24B4"/>
    <w:rsid w:val="00203E22"/>
    <w:rsid w:val="00204FAE"/>
    <w:rsid w:val="00207418"/>
    <w:rsid w:val="00210C94"/>
    <w:rsid w:val="0021290B"/>
    <w:rsid w:val="00212F26"/>
    <w:rsid w:val="0022022A"/>
    <w:rsid w:val="002206E2"/>
    <w:rsid w:val="002246F1"/>
    <w:rsid w:val="00224B12"/>
    <w:rsid w:val="00224F24"/>
    <w:rsid w:val="00225748"/>
    <w:rsid w:val="00226C84"/>
    <w:rsid w:val="00227929"/>
    <w:rsid w:val="00231C8F"/>
    <w:rsid w:val="00231DB0"/>
    <w:rsid w:val="00236D49"/>
    <w:rsid w:val="0024116D"/>
    <w:rsid w:val="002428E3"/>
    <w:rsid w:val="00245302"/>
    <w:rsid w:val="00245B23"/>
    <w:rsid w:val="002501C2"/>
    <w:rsid w:val="00250E0E"/>
    <w:rsid w:val="0025286B"/>
    <w:rsid w:val="00257991"/>
    <w:rsid w:val="0026257C"/>
    <w:rsid w:val="002626D9"/>
    <w:rsid w:val="00264DE9"/>
    <w:rsid w:val="0026701E"/>
    <w:rsid w:val="002671BA"/>
    <w:rsid w:val="00270E50"/>
    <w:rsid w:val="0027680E"/>
    <w:rsid w:val="00277215"/>
    <w:rsid w:val="002859B4"/>
    <w:rsid w:val="002913A0"/>
    <w:rsid w:val="002954AD"/>
    <w:rsid w:val="002967F6"/>
    <w:rsid w:val="0029721A"/>
    <w:rsid w:val="002A3BB3"/>
    <w:rsid w:val="002A41F1"/>
    <w:rsid w:val="002A532F"/>
    <w:rsid w:val="002A5B4B"/>
    <w:rsid w:val="002A77C1"/>
    <w:rsid w:val="002B16B0"/>
    <w:rsid w:val="002B25CA"/>
    <w:rsid w:val="002B5633"/>
    <w:rsid w:val="002B58D9"/>
    <w:rsid w:val="002B7AFF"/>
    <w:rsid w:val="002C4672"/>
    <w:rsid w:val="002C765E"/>
    <w:rsid w:val="002D2322"/>
    <w:rsid w:val="002D2672"/>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26BF"/>
    <w:rsid w:val="00314690"/>
    <w:rsid w:val="003211C9"/>
    <w:rsid w:val="00322343"/>
    <w:rsid w:val="00336A12"/>
    <w:rsid w:val="003406A7"/>
    <w:rsid w:val="00340B53"/>
    <w:rsid w:val="00346CE0"/>
    <w:rsid w:val="003519DA"/>
    <w:rsid w:val="00351CF9"/>
    <w:rsid w:val="003567DE"/>
    <w:rsid w:val="003574C9"/>
    <w:rsid w:val="00360101"/>
    <w:rsid w:val="00367B53"/>
    <w:rsid w:val="003740A7"/>
    <w:rsid w:val="00375073"/>
    <w:rsid w:val="00382C83"/>
    <w:rsid w:val="0038395C"/>
    <w:rsid w:val="003851C8"/>
    <w:rsid w:val="00390FDA"/>
    <w:rsid w:val="00392FB8"/>
    <w:rsid w:val="00393468"/>
    <w:rsid w:val="00393743"/>
    <w:rsid w:val="003A4C16"/>
    <w:rsid w:val="003B0856"/>
    <w:rsid w:val="003B7A11"/>
    <w:rsid w:val="003C176C"/>
    <w:rsid w:val="003C72BC"/>
    <w:rsid w:val="003D260A"/>
    <w:rsid w:val="003D2F5F"/>
    <w:rsid w:val="003D5884"/>
    <w:rsid w:val="003D5D2A"/>
    <w:rsid w:val="003F020E"/>
    <w:rsid w:val="003F387B"/>
    <w:rsid w:val="004028DA"/>
    <w:rsid w:val="0040328A"/>
    <w:rsid w:val="00404D7B"/>
    <w:rsid w:val="00406785"/>
    <w:rsid w:val="0040790B"/>
    <w:rsid w:val="00407A0C"/>
    <w:rsid w:val="004158C0"/>
    <w:rsid w:val="00416914"/>
    <w:rsid w:val="00420926"/>
    <w:rsid w:val="00421019"/>
    <w:rsid w:val="00425674"/>
    <w:rsid w:val="00427453"/>
    <w:rsid w:val="004277A1"/>
    <w:rsid w:val="0043227F"/>
    <w:rsid w:val="0043752D"/>
    <w:rsid w:val="00441F27"/>
    <w:rsid w:val="00444056"/>
    <w:rsid w:val="0044512B"/>
    <w:rsid w:val="00451FF1"/>
    <w:rsid w:val="00452F85"/>
    <w:rsid w:val="00453A0B"/>
    <w:rsid w:val="004544CD"/>
    <w:rsid w:val="0045589E"/>
    <w:rsid w:val="004576D6"/>
    <w:rsid w:val="00457DEC"/>
    <w:rsid w:val="00461AE2"/>
    <w:rsid w:val="00461D84"/>
    <w:rsid w:val="00462917"/>
    <w:rsid w:val="00470228"/>
    <w:rsid w:val="00471887"/>
    <w:rsid w:val="00472588"/>
    <w:rsid w:val="00474FB4"/>
    <w:rsid w:val="00475864"/>
    <w:rsid w:val="00480135"/>
    <w:rsid w:val="004840F5"/>
    <w:rsid w:val="00491F35"/>
    <w:rsid w:val="004961BB"/>
    <w:rsid w:val="004970B5"/>
    <w:rsid w:val="004974A4"/>
    <w:rsid w:val="004A4535"/>
    <w:rsid w:val="004C0551"/>
    <w:rsid w:val="004C3342"/>
    <w:rsid w:val="004C33E9"/>
    <w:rsid w:val="004C74C5"/>
    <w:rsid w:val="004D351A"/>
    <w:rsid w:val="004D45FB"/>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1064F"/>
    <w:rsid w:val="00510859"/>
    <w:rsid w:val="00520037"/>
    <w:rsid w:val="00521B5B"/>
    <w:rsid w:val="0052284F"/>
    <w:rsid w:val="00523A86"/>
    <w:rsid w:val="00523F8E"/>
    <w:rsid w:val="00526599"/>
    <w:rsid w:val="00533EA6"/>
    <w:rsid w:val="00533F06"/>
    <w:rsid w:val="00535A3F"/>
    <w:rsid w:val="005360BF"/>
    <w:rsid w:val="0053710B"/>
    <w:rsid w:val="00540795"/>
    <w:rsid w:val="00541887"/>
    <w:rsid w:val="00546FCE"/>
    <w:rsid w:val="00552FBA"/>
    <w:rsid w:val="00555765"/>
    <w:rsid w:val="0055690E"/>
    <w:rsid w:val="00556BB3"/>
    <w:rsid w:val="005570F2"/>
    <w:rsid w:val="00562ABE"/>
    <w:rsid w:val="00563868"/>
    <w:rsid w:val="00565DE4"/>
    <w:rsid w:val="005669F5"/>
    <w:rsid w:val="00567B47"/>
    <w:rsid w:val="00567B8A"/>
    <w:rsid w:val="0058271B"/>
    <w:rsid w:val="00582FA4"/>
    <w:rsid w:val="00590CEE"/>
    <w:rsid w:val="00592356"/>
    <w:rsid w:val="005A417D"/>
    <w:rsid w:val="005A76BA"/>
    <w:rsid w:val="005A78BE"/>
    <w:rsid w:val="005B0438"/>
    <w:rsid w:val="005B1A3F"/>
    <w:rsid w:val="005B6357"/>
    <w:rsid w:val="005C153F"/>
    <w:rsid w:val="005C15FA"/>
    <w:rsid w:val="005C188A"/>
    <w:rsid w:val="005C2337"/>
    <w:rsid w:val="005C3D56"/>
    <w:rsid w:val="005C6638"/>
    <w:rsid w:val="005D4160"/>
    <w:rsid w:val="005D476E"/>
    <w:rsid w:val="005D715F"/>
    <w:rsid w:val="005E104E"/>
    <w:rsid w:val="005E3059"/>
    <w:rsid w:val="005E353F"/>
    <w:rsid w:val="005E4BA5"/>
    <w:rsid w:val="005E5569"/>
    <w:rsid w:val="005E7A31"/>
    <w:rsid w:val="005E7C5B"/>
    <w:rsid w:val="005F0F7A"/>
    <w:rsid w:val="005F161B"/>
    <w:rsid w:val="005F21FB"/>
    <w:rsid w:val="00601E5C"/>
    <w:rsid w:val="0060578D"/>
    <w:rsid w:val="006063FA"/>
    <w:rsid w:val="00610EDF"/>
    <w:rsid w:val="006136A6"/>
    <w:rsid w:val="006146C7"/>
    <w:rsid w:val="0062075E"/>
    <w:rsid w:val="00621A24"/>
    <w:rsid w:val="006224BA"/>
    <w:rsid w:val="00624862"/>
    <w:rsid w:val="00627978"/>
    <w:rsid w:val="0063045B"/>
    <w:rsid w:val="006312CA"/>
    <w:rsid w:val="006327E4"/>
    <w:rsid w:val="00642B7A"/>
    <w:rsid w:val="00646278"/>
    <w:rsid w:val="0064680F"/>
    <w:rsid w:val="00646B8A"/>
    <w:rsid w:val="00651E6F"/>
    <w:rsid w:val="006544B1"/>
    <w:rsid w:val="00655955"/>
    <w:rsid w:val="006629DC"/>
    <w:rsid w:val="006634FA"/>
    <w:rsid w:val="00663BA4"/>
    <w:rsid w:val="00665F7F"/>
    <w:rsid w:val="0066733E"/>
    <w:rsid w:val="00670F3E"/>
    <w:rsid w:val="00672733"/>
    <w:rsid w:val="00673E03"/>
    <w:rsid w:val="00674D9C"/>
    <w:rsid w:val="006777E1"/>
    <w:rsid w:val="0067789E"/>
    <w:rsid w:val="00681B8E"/>
    <w:rsid w:val="0068399D"/>
    <w:rsid w:val="00686530"/>
    <w:rsid w:val="00690FCB"/>
    <w:rsid w:val="00692A4C"/>
    <w:rsid w:val="00694D31"/>
    <w:rsid w:val="00697035"/>
    <w:rsid w:val="006A54F5"/>
    <w:rsid w:val="006A55AC"/>
    <w:rsid w:val="006A59F3"/>
    <w:rsid w:val="006B2FE5"/>
    <w:rsid w:val="006B30E2"/>
    <w:rsid w:val="006B37F8"/>
    <w:rsid w:val="006B4F48"/>
    <w:rsid w:val="006C094F"/>
    <w:rsid w:val="006C244A"/>
    <w:rsid w:val="006C6081"/>
    <w:rsid w:val="006C6353"/>
    <w:rsid w:val="006C7601"/>
    <w:rsid w:val="006D09E5"/>
    <w:rsid w:val="006D0A88"/>
    <w:rsid w:val="006D1E7C"/>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D3F"/>
    <w:rsid w:val="00724C15"/>
    <w:rsid w:val="0072760F"/>
    <w:rsid w:val="00743B03"/>
    <w:rsid w:val="00750B3F"/>
    <w:rsid w:val="007568AF"/>
    <w:rsid w:val="00761B26"/>
    <w:rsid w:val="0076212D"/>
    <w:rsid w:val="007700FD"/>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E04"/>
    <w:rsid w:val="007D5A18"/>
    <w:rsid w:val="007D7947"/>
    <w:rsid w:val="007E1A03"/>
    <w:rsid w:val="007E4F76"/>
    <w:rsid w:val="007F014C"/>
    <w:rsid w:val="007F1796"/>
    <w:rsid w:val="007F4630"/>
    <w:rsid w:val="007F4770"/>
    <w:rsid w:val="00800462"/>
    <w:rsid w:val="00810C5A"/>
    <w:rsid w:val="00814ECD"/>
    <w:rsid w:val="00815548"/>
    <w:rsid w:val="008158FA"/>
    <w:rsid w:val="00817224"/>
    <w:rsid w:val="00823FCB"/>
    <w:rsid w:val="00825754"/>
    <w:rsid w:val="00825AB2"/>
    <w:rsid w:val="00836921"/>
    <w:rsid w:val="00840D71"/>
    <w:rsid w:val="00844417"/>
    <w:rsid w:val="008474FD"/>
    <w:rsid w:val="00850CD3"/>
    <w:rsid w:val="00850E0D"/>
    <w:rsid w:val="00850F9D"/>
    <w:rsid w:val="00851D05"/>
    <w:rsid w:val="00853E34"/>
    <w:rsid w:val="008575EB"/>
    <w:rsid w:val="008579A2"/>
    <w:rsid w:val="00857FDF"/>
    <w:rsid w:val="008775DE"/>
    <w:rsid w:val="00881A6B"/>
    <w:rsid w:val="008846A9"/>
    <w:rsid w:val="00893ECC"/>
    <w:rsid w:val="0089511D"/>
    <w:rsid w:val="008A19BC"/>
    <w:rsid w:val="008A2B39"/>
    <w:rsid w:val="008A5596"/>
    <w:rsid w:val="008A6C24"/>
    <w:rsid w:val="008A7C93"/>
    <w:rsid w:val="008B1FCC"/>
    <w:rsid w:val="008B2AC4"/>
    <w:rsid w:val="008B730F"/>
    <w:rsid w:val="008C121D"/>
    <w:rsid w:val="008C581E"/>
    <w:rsid w:val="008C6170"/>
    <w:rsid w:val="008C7640"/>
    <w:rsid w:val="008D2A5A"/>
    <w:rsid w:val="008D498E"/>
    <w:rsid w:val="008E36DC"/>
    <w:rsid w:val="008E48E8"/>
    <w:rsid w:val="008E7942"/>
    <w:rsid w:val="008F4D24"/>
    <w:rsid w:val="008F7EA0"/>
    <w:rsid w:val="009008F0"/>
    <w:rsid w:val="00900BC2"/>
    <w:rsid w:val="00904A0E"/>
    <w:rsid w:val="0091760E"/>
    <w:rsid w:val="0092487D"/>
    <w:rsid w:val="00924A0A"/>
    <w:rsid w:val="009279F1"/>
    <w:rsid w:val="009319DE"/>
    <w:rsid w:val="00942729"/>
    <w:rsid w:val="009553F4"/>
    <w:rsid w:val="009563D1"/>
    <w:rsid w:val="00960911"/>
    <w:rsid w:val="00970327"/>
    <w:rsid w:val="009743BC"/>
    <w:rsid w:val="009816D2"/>
    <w:rsid w:val="00982FA2"/>
    <w:rsid w:val="00983700"/>
    <w:rsid w:val="00986359"/>
    <w:rsid w:val="00990BB9"/>
    <w:rsid w:val="00991729"/>
    <w:rsid w:val="009922AF"/>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35B9"/>
    <w:rsid w:val="009E738B"/>
    <w:rsid w:val="009E7F4F"/>
    <w:rsid w:val="009F5B04"/>
    <w:rsid w:val="00A00FAB"/>
    <w:rsid w:val="00A04E9D"/>
    <w:rsid w:val="00A0730C"/>
    <w:rsid w:val="00A12571"/>
    <w:rsid w:val="00A21233"/>
    <w:rsid w:val="00A250EC"/>
    <w:rsid w:val="00A25149"/>
    <w:rsid w:val="00A278D1"/>
    <w:rsid w:val="00A27B11"/>
    <w:rsid w:val="00A34889"/>
    <w:rsid w:val="00A3567E"/>
    <w:rsid w:val="00A40CB0"/>
    <w:rsid w:val="00A41086"/>
    <w:rsid w:val="00A429A3"/>
    <w:rsid w:val="00A47916"/>
    <w:rsid w:val="00A47DFF"/>
    <w:rsid w:val="00A508A7"/>
    <w:rsid w:val="00A511D5"/>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A35C8"/>
    <w:rsid w:val="00AA680A"/>
    <w:rsid w:val="00AA7A98"/>
    <w:rsid w:val="00AB31D0"/>
    <w:rsid w:val="00AB6BF7"/>
    <w:rsid w:val="00AB7AB4"/>
    <w:rsid w:val="00AC13B4"/>
    <w:rsid w:val="00AC3E06"/>
    <w:rsid w:val="00AC6A2E"/>
    <w:rsid w:val="00AD72AB"/>
    <w:rsid w:val="00AD74E1"/>
    <w:rsid w:val="00AE2ECE"/>
    <w:rsid w:val="00AE3E91"/>
    <w:rsid w:val="00AE47FF"/>
    <w:rsid w:val="00AE5EEB"/>
    <w:rsid w:val="00AE6FDB"/>
    <w:rsid w:val="00AF0699"/>
    <w:rsid w:val="00AF14BA"/>
    <w:rsid w:val="00AF2989"/>
    <w:rsid w:val="00AF469F"/>
    <w:rsid w:val="00AF5D4E"/>
    <w:rsid w:val="00B000B7"/>
    <w:rsid w:val="00B011C3"/>
    <w:rsid w:val="00B01394"/>
    <w:rsid w:val="00B01BA4"/>
    <w:rsid w:val="00B142C0"/>
    <w:rsid w:val="00B15222"/>
    <w:rsid w:val="00B169EE"/>
    <w:rsid w:val="00B2217B"/>
    <w:rsid w:val="00B22A90"/>
    <w:rsid w:val="00B25C65"/>
    <w:rsid w:val="00B35090"/>
    <w:rsid w:val="00B37E72"/>
    <w:rsid w:val="00B42A67"/>
    <w:rsid w:val="00B44E07"/>
    <w:rsid w:val="00B44F2D"/>
    <w:rsid w:val="00B50D28"/>
    <w:rsid w:val="00B54F84"/>
    <w:rsid w:val="00B559CF"/>
    <w:rsid w:val="00B55D61"/>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4A42"/>
    <w:rsid w:val="00BA6124"/>
    <w:rsid w:val="00BB50BB"/>
    <w:rsid w:val="00BC0CAE"/>
    <w:rsid w:val="00BC129C"/>
    <w:rsid w:val="00BC313B"/>
    <w:rsid w:val="00BC36DD"/>
    <w:rsid w:val="00BC47F3"/>
    <w:rsid w:val="00BC5ED9"/>
    <w:rsid w:val="00BC6DD1"/>
    <w:rsid w:val="00BD072A"/>
    <w:rsid w:val="00BD11A4"/>
    <w:rsid w:val="00BD5D76"/>
    <w:rsid w:val="00BD60F7"/>
    <w:rsid w:val="00BD7A3C"/>
    <w:rsid w:val="00BE05CE"/>
    <w:rsid w:val="00BF1799"/>
    <w:rsid w:val="00BF221E"/>
    <w:rsid w:val="00BF6733"/>
    <w:rsid w:val="00BF6D7D"/>
    <w:rsid w:val="00C0077C"/>
    <w:rsid w:val="00C01278"/>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528CE"/>
    <w:rsid w:val="00C56E3A"/>
    <w:rsid w:val="00C57950"/>
    <w:rsid w:val="00C602F5"/>
    <w:rsid w:val="00C62B2C"/>
    <w:rsid w:val="00C71508"/>
    <w:rsid w:val="00C72E95"/>
    <w:rsid w:val="00C75E4F"/>
    <w:rsid w:val="00C77D56"/>
    <w:rsid w:val="00C806B6"/>
    <w:rsid w:val="00C8259C"/>
    <w:rsid w:val="00C82CCB"/>
    <w:rsid w:val="00C82D6D"/>
    <w:rsid w:val="00C95A23"/>
    <w:rsid w:val="00C960D9"/>
    <w:rsid w:val="00C96EC2"/>
    <w:rsid w:val="00C97584"/>
    <w:rsid w:val="00C975BE"/>
    <w:rsid w:val="00CA01F4"/>
    <w:rsid w:val="00CA0AB3"/>
    <w:rsid w:val="00CA2649"/>
    <w:rsid w:val="00CA2E02"/>
    <w:rsid w:val="00CA5A24"/>
    <w:rsid w:val="00CA708C"/>
    <w:rsid w:val="00CA77D5"/>
    <w:rsid w:val="00CB0562"/>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5C2B"/>
    <w:rsid w:val="00CF6460"/>
    <w:rsid w:val="00D02477"/>
    <w:rsid w:val="00D03EBA"/>
    <w:rsid w:val="00D04017"/>
    <w:rsid w:val="00D047A9"/>
    <w:rsid w:val="00D05F80"/>
    <w:rsid w:val="00D07418"/>
    <w:rsid w:val="00D07EA2"/>
    <w:rsid w:val="00D10748"/>
    <w:rsid w:val="00D15701"/>
    <w:rsid w:val="00D21189"/>
    <w:rsid w:val="00D21D0E"/>
    <w:rsid w:val="00D226C8"/>
    <w:rsid w:val="00D27C7A"/>
    <w:rsid w:val="00D30CF7"/>
    <w:rsid w:val="00D329E6"/>
    <w:rsid w:val="00D46741"/>
    <w:rsid w:val="00D46C89"/>
    <w:rsid w:val="00D50BE8"/>
    <w:rsid w:val="00D53AE8"/>
    <w:rsid w:val="00D54CB9"/>
    <w:rsid w:val="00D556C6"/>
    <w:rsid w:val="00D5626A"/>
    <w:rsid w:val="00D60108"/>
    <w:rsid w:val="00D62C61"/>
    <w:rsid w:val="00D66C61"/>
    <w:rsid w:val="00D7168E"/>
    <w:rsid w:val="00D718B9"/>
    <w:rsid w:val="00D73731"/>
    <w:rsid w:val="00D7463D"/>
    <w:rsid w:val="00D757FE"/>
    <w:rsid w:val="00D8223C"/>
    <w:rsid w:val="00D8300D"/>
    <w:rsid w:val="00D83063"/>
    <w:rsid w:val="00D84693"/>
    <w:rsid w:val="00D85888"/>
    <w:rsid w:val="00D901BB"/>
    <w:rsid w:val="00D9394B"/>
    <w:rsid w:val="00D9396E"/>
    <w:rsid w:val="00D93C90"/>
    <w:rsid w:val="00D94501"/>
    <w:rsid w:val="00D948AB"/>
    <w:rsid w:val="00DA5DDB"/>
    <w:rsid w:val="00DB18B0"/>
    <w:rsid w:val="00DB30F4"/>
    <w:rsid w:val="00DB67DB"/>
    <w:rsid w:val="00DC1100"/>
    <w:rsid w:val="00DC1DF2"/>
    <w:rsid w:val="00DC200C"/>
    <w:rsid w:val="00DC2015"/>
    <w:rsid w:val="00DC41EC"/>
    <w:rsid w:val="00DC4291"/>
    <w:rsid w:val="00DC7C06"/>
    <w:rsid w:val="00DD063A"/>
    <w:rsid w:val="00DD1C5A"/>
    <w:rsid w:val="00DD53E1"/>
    <w:rsid w:val="00DE01CA"/>
    <w:rsid w:val="00DE054A"/>
    <w:rsid w:val="00DE1B61"/>
    <w:rsid w:val="00DE4A0C"/>
    <w:rsid w:val="00DE6475"/>
    <w:rsid w:val="00DF3869"/>
    <w:rsid w:val="00DF50D0"/>
    <w:rsid w:val="00E055F7"/>
    <w:rsid w:val="00E1475A"/>
    <w:rsid w:val="00E14C83"/>
    <w:rsid w:val="00E17BCE"/>
    <w:rsid w:val="00E23EB0"/>
    <w:rsid w:val="00E24B39"/>
    <w:rsid w:val="00E30623"/>
    <w:rsid w:val="00E30A82"/>
    <w:rsid w:val="00E37F70"/>
    <w:rsid w:val="00E4108C"/>
    <w:rsid w:val="00E428BC"/>
    <w:rsid w:val="00E5197A"/>
    <w:rsid w:val="00E52C3B"/>
    <w:rsid w:val="00E5671A"/>
    <w:rsid w:val="00E60106"/>
    <w:rsid w:val="00E65B89"/>
    <w:rsid w:val="00E6604B"/>
    <w:rsid w:val="00E753DA"/>
    <w:rsid w:val="00E768B9"/>
    <w:rsid w:val="00E82C2B"/>
    <w:rsid w:val="00E869CD"/>
    <w:rsid w:val="00E86DB3"/>
    <w:rsid w:val="00E90E66"/>
    <w:rsid w:val="00E939C2"/>
    <w:rsid w:val="00EA5991"/>
    <w:rsid w:val="00EA5C61"/>
    <w:rsid w:val="00EA5C8D"/>
    <w:rsid w:val="00EB6428"/>
    <w:rsid w:val="00EC4CA3"/>
    <w:rsid w:val="00EC664B"/>
    <w:rsid w:val="00EC79D1"/>
    <w:rsid w:val="00EC7E49"/>
    <w:rsid w:val="00ED2DDD"/>
    <w:rsid w:val="00ED404D"/>
    <w:rsid w:val="00ED5BB5"/>
    <w:rsid w:val="00ED7156"/>
    <w:rsid w:val="00EE4D28"/>
    <w:rsid w:val="00EE69D4"/>
    <w:rsid w:val="00EF4D12"/>
    <w:rsid w:val="00F12178"/>
    <w:rsid w:val="00F136D3"/>
    <w:rsid w:val="00F140B7"/>
    <w:rsid w:val="00F14282"/>
    <w:rsid w:val="00F14A44"/>
    <w:rsid w:val="00F1610F"/>
    <w:rsid w:val="00F1652C"/>
    <w:rsid w:val="00F171C1"/>
    <w:rsid w:val="00F223CB"/>
    <w:rsid w:val="00F228C9"/>
    <w:rsid w:val="00F244F4"/>
    <w:rsid w:val="00F30409"/>
    <w:rsid w:val="00F31B3F"/>
    <w:rsid w:val="00F34B92"/>
    <w:rsid w:val="00F40DE0"/>
    <w:rsid w:val="00F41C3A"/>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5DA2"/>
    <w:rsid w:val="00FC6F4D"/>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2145"/>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1"/>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29"/>
      </w:numPr>
    </w:pPr>
  </w:style>
  <w:style w:type="numbering" w:customStyle="1" w:styleId="WWNum3">
    <w:name w:val="WWNum3"/>
    <w:basedOn w:val="Bezlisty"/>
    <w:rsid w:val="007C1B3B"/>
    <w:pPr>
      <w:numPr>
        <w:numId w:val="30"/>
      </w:numPr>
    </w:pPr>
  </w:style>
  <w:style w:type="numbering" w:customStyle="1" w:styleId="WWNum7">
    <w:name w:val="WWNum7"/>
    <w:basedOn w:val="Bezlisty"/>
    <w:rsid w:val="007C1B3B"/>
    <w:pPr>
      <w:numPr>
        <w:numId w:val="31"/>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33"/>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p@zdunskawola.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0BCA-1D50-45FF-8DF5-BE701113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6952</Words>
  <Characters>41718</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Alberczak</dc:creator>
  <cp:keywords/>
  <dc:description/>
  <cp:lastModifiedBy>Marcin Alberczak</cp:lastModifiedBy>
  <cp:revision>22</cp:revision>
  <cp:lastPrinted>2020-07-15T12:00:00Z</cp:lastPrinted>
  <dcterms:created xsi:type="dcterms:W3CDTF">2020-05-27T05:47:00Z</dcterms:created>
  <dcterms:modified xsi:type="dcterms:W3CDTF">2020-07-16T10:55:00Z</dcterms:modified>
</cp:coreProperties>
</file>