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025883">
                    <w:tc>
                      <w:tcPr>
                        <w:tcW w:w="9577" w:type="dxa"/>
                      </w:tcPr>
                      <w:p w14:paraId="3241685B" w14:textId="0E4D913E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046570" w:rsidRPr="00046570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Przebudowa ulicy Zduńskiej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025883">
                    <w:tc>
                      <w:tcPr>
                        <w:tcW w:w="9577" w:type="dxa"/>
                      </w:tcPr>
                      <w:p w14:paraId="36A71C44" w14:textId="1ED979B7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046570" w:rsidRPr="00046570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IM.271.38.2020.KM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025883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025883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7431A354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4BBA88E6" w:rsidR="008C6170" w:rsidRPr="00E65B89" w:rsidRDefault="000465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 xml:space="preserve">Marcin Alberczak 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14C0F03D" w14:textId="48182125" w:rsidR="00B01BA4" w:rsidRDefault="00CF5C2B" w:rsidP="00C24257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A22B86" w:rsidRPr="00A22B86">
        <w:rPr>
          <w:rFonts w:asciiTheme="majorHAnsi" w:hAnsiTheme="majorHAnsi" w:cstheme="majorHAnsi"/>
          <w:sz w:val="20"/>
          <w:szCs w:val="20"/>
        </w:rPr>
        <w:t>przebudowa ul. Zduńskiej wraz z budową 6-ciu miejsc postojowych w Zduńskiej Woli. Długości ok. 177 m. o nawierzchni bitumicznej szerokości 5,0m wraz z obustronnym poboczem ser. 1,0 m z kruszywa łamanego oraz zjazdami z kruszywa łamanego.</w:t>
      </w:r>
    </w:p>
    <w:p w14:paraId="08249FD9" w14:textId="77777777" w:rsidR="00A22B86" w:rsidRDefault="00A22B86" w:rsidP="00C24257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 xml:space="preserve">Przebudowa obejmie następujące elementy: </w:t>
      </w:r>
    </w:p>
    <w:p w14:paraId="07EB81CE" w14:textId="32766E42" w:rsidR="00A22B86" w:rsidRDefault="00A22B86" w:rsidP="00A22B86">
      <w:pPr>
        <w:pStyle w:val="Akapitzlist"/>
        <w:numPr>
          <w:ilvl w:val="0"/>
          <w:numId w:val="56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>przebudowa jezdni wraz z wykonaniem podbudowy; obustronne pobocza, zjazdy</w:t>
      </w:r>
      <w:r>
        <w:rPr>
          <w:rFonts w:asciiTheme="majorHAnsi" w:hAnsiTheme="majorHAnsi" w:cstheme="majorHAnsi"/>
          <w:sz w:val="20"/>
          <w:szCs w:val="20"/>
        </w:rPr>
        <w:t>;</w:t>
      </w:r>
      <w:r w:rsidRPr="00A22B8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9C7BD6D" w14:textId="77777777" w:rsidR="00A22B86" w:rsidRDefault="00A22B86" w:rsidP="00A22B86">
      <w:pPr>
        <w:pStyle w:val="Akapitzlist"/>
        <w:numPr>
          <w:ilvl w:val="0"/>
          <w:numId w:val="56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>wykonanie 6-ciu miejsc postojowych;</w:t>
      </w:r>
    </w:p>
    <w:p w14:paraId="6CE8AB7A" w14:textId="77777777" w:rsidR="00A22B86" w:rsidRDefault="00A22B86" w:rsidP="00A22B86">
      <w:pPr>
        <w:pStyle w:val="Akapitzlist"/>
        <w:numPr>
          <w:ilvl w:val="0"/>
          <w:numId w:val="56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 xml:space="preserve">wykonanie oznakowania </w:t>
      </w:r>
    </w:p>
    <w:p w14:paraId="32B41896" w14:textId="77777777" w:rsidR="00A22B86" w:rsidRDefault="00A22B86" w:rsidP="00A22B86">
      <w:pPr>
        <w:pStyle w:val="Akapitzlist"/>
        <w:numPr>
          <w:ilvl w:val="0"/>
          <w:numId w:val="56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 xml:space="preserve">odtworzenie nawierzchni ulic sąsiednich po wszelkich pracach związanych z przebudową ul. Zduńskiej, </w:t>
      </w:r>
    </w:p>
    <w:p w14:paraId="60BC6653" w14:textId="0FF12DCB" w:rsidR="00A22B86" w:rsidRPr="00A22B86" w:rsidRDefault="00A22B86" w:rsidP="00A22B86">
      <w:pPr>
        <w:pStyle w:val="Akapitzlist"/>
        <w:numPr>
          <w:ilvl w:val="0"/>
          <w:numId w:val="56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A22B86">
        <w:rPr>
          <w:rFonts w:asciiTheme="majorHAnsi" w:hAnsiTheme="majorHAnsi" w:cstheme="majorHAnsi"/>
          <w:sz w:val="20"/>
          <w:szCs w:val="20"/>
        </w:rPr>
        <w:t>osianie trawy na zieleńcach.</w:t>
      </w:r>
    </w:p>
    <w:p w14:paraId="708D032B" w14:textId="2D868E51" w:rsidR="00A22B86" w:rsidRDefault="00A22B86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>Zadanie realizowane na działkach nr ew. gruntów; 160/1; 160/2; 160/3; 348; 335; 275; 376; 377; 292 ob. 13;</w:t>
      </w:r>
    </w:p>
    <w:p w14:paraId="2343DFD5" w14:textId="77777777" w:rsidR="00A22B86" w:rsidRDefault="00A22B86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 xml:space="preserve">Wykonawca we własnym zakresie zutylizuje materiał z rozbiórki, powstałych w trakcie przebudowy ulicy Zduńskiej. </w:t>
      </w:r>
    </w:p>
    <w:p w14:paraId="39A7978D" w14:textId="77777777" w:rsidR="00B97873" w:rsidRDefault="00B97873" w:rsidP="00B9787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Podstawa wykonania robót: </w:t>
      </w:r>
    </w:p>
    <w:p w14:paraId="794FF873" w14:textId="4D1BAC23" w:rsidR="00B97873" w:rsidRP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1) Zgłoszenie nr AB.6743.1.562.2019 na przebudowę ulicy Zduńskiej;  </w:t>
      </w:r>
    </w:p>
    <w:p w14:paraId="2A0791FF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2) dokumentacja projektowa; </w:t>
      </w:r>
    </w:p>
    <w:p w14:paraId="50CE3F42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3) specyfikacje techniczne wykonania i odbioru robót; </w:t>
      </w:r>
    </w:p>
    <w:p w14:paraId="691391CA" w14:textId="7F789A8E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>4) Specyfikacja Istotnych Warunków Zamówienia.</w:t>
      </w:r>
    </w:p>
    <w:p w14:paraId="077B803C" w14:textId="7F2928EA" w:rsidR="00A22B86" w:rsidRDefault="00A22B86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B86">
        <w:rPr>
          <w:rFonts w:asciiTheme="majorHAnsi" w:hAnsiTheme="majorHAnsi" w:cstheme="majorHAnsi"/>
          <w:sz w:val="20"/>
          <w:szCs w:val="20"/>
        </w:rPr>
        <w:t>Szczegółowy opis przedmiotu zamówienia zawarty jest</w:t>
      </w:r>
      <w:r>
        <w:rPr>
          <w:rFonts w:asciiTheme="majorHAnsi" w:hAnsiTheme="majorHAnsi" w:cstheme="majorHAnsi"/>
          <w:sz w:val="20"/>
          <w:szCs w:val="20"/>
        </w:rPr>
        <w:t xml:space="preserve"> dokumentacji technicznej stanowiącej załącznik nr 5 do SIWZ. </w:t>
      </w:r>
      <w:r w:rsidRPr="00A22B86">
        <w:rPr>
          <w:rFonts w:asciiTheme="majorHAnsi" w:hAnsiTheme="majorHAnsi" w:cstheme="majorHAnsi"/>
          <w:sz w:val="20"/>
          <w:szCs w:val="20"/>
        </w:rPr>
        <w:t xml:space="preserve"> </w:t>
      </w:r>
      <w:r w:rsidR="00B97873" w:rsidRPr="00B97873">
        <w:rPr>
          <w:rFonts w:asciiTheme="majorHAnsi" w:hAnsiTheme="majorHAnsi" w:cstheme="majorHAnsi"/>
          <w:sz w:val="20"/>
          <w:szCs w:val="20"/>
        </w:rPr>
        <w:t xml:space="preserve">Zamówienie zostanie udzielone na warunkach określonych we wzorze umowy dotyczącej zamówienia podstawowego (załącznik </w:t>
      </w:r>
      <w:r w:rsidR="00B97873">
        <w:rPr>
          <w:rFonts w:asciiTheme="majorHAnsi" w:hAnsiTheme="majorHAnsi" w:cstheme="majorHAnsi"/>
          <w:sz w:val="20"/>
          <w:szCs w:val="20"/>
        </w:rPr>
        <w:t xml:space="preserve">nr 4 </w:t>
      </w:r>
      <w:r w:rsidR="00B97873" w:rsidRPr="00B97873">
        <w:rPr>
          <w:rFonts w:asciiTheme="majorHAnsi" w:hAnsiTheme="majorHAnsi" w:cstheme="majorHAnsi"/>
          <w:sz w:val="20"/>
          <w:szCs w:val="20"/>
        </w:rPr>
        <w:t>do SIWZ).</w:t>
      </w:r>
    </w:p>
    <w:p w14:paraId="159F1123" w14:textId="5DF56CEE" w:rsidR="00D92876" w:rsidRDefault="00D92876" w:rsidP="00D92876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92876">
        <w:rPr>
          <w:rFonts w:asciiTheme="majorHAnsi" w:hAnsiTheme="majorHAnsi" w:cstheme="majorHAnsi"/>
          <w:sz w:val="20"/>
          <w:szCs w:val="20"/>
        </w:rPr>
        <w:t xml:space="preserve"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 </w:t>
      </w:r>
    </w:p>
    <w:p w14:paraId="338BE5C0" w14:textId="6FD3420F" w:rsidR="00D92876" w:rsidRDefault="00D92876" w:rsidP="00D92876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92876">
        <w:rPr>
          <w:rFonts w:asciiTheme="majorHAnsi" w:hAnsiTheme="majorHAnsi" w:cstheme="majorHAnsi"/>
          <w:sz w:val="20"/>
          <w:szCs w:val="20"/>
        </w:rPr>
        <w:t xml:space="preserve">Zamawiający informuje, ze zadnie będzie wykonywane w przestrzeni publicznej wraz z jej budową, przebudową. </w:t>
      </w:r>
    </w:p>
    <w:p w14:paraId="0F0A0740" w14:textId="77777777" w:rsidR="00D92876" w:rsidRDefault="00D92876" w:rsidP="00D92876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92876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9318B08" w14:textId="0F06235F" w:rsidR="00A22B86" w:rsidRDefault="00D92876" w:rsidP="004E1DAF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92876">
        <w:rPr>
          <w:rFonts w:asciiTheme="majorHAnsi" w:hAnsiTheme="majorHAnsi" w:cstheme="majorHAnsi"/>
          <w:sz w:val="20"/>
          <w:szCs w:val="20"/>
        </w:rPr>
        <w:t>Materiały i wyroby użyte do wykonania przedmiotu zamówienia winny spełniać wymogi określone w przepisach prawa polskiego, posiadać atesty lub świadectwa IBDiM dopuszczające stosowanie ich w budownictwie komunikacyjnym oraz deklarację zgodności.</w:t>
      </w:r>
    </w:p>
    <w:p w14:paraId="51507400" w14:textId="77777777" w:rsidR="00B97873" w:rsidRDefault="00B97873" w:rsidP="00C85C37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Przy wykonawstwie oraz odbiorze robót objętych zamówieniem obowiązywać będą zasady i wymagania określone w: </w:t>
      </w:r>
    </w:p>
    <w:p w14:paraId="151AC686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1) dokumentacji projektowej, </w:t>
      </w:r>
    </w:p>
    <w:p w14:paraId="66E42B6A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2) Specyfikacjach Technicznych Wykonania i Odbioru Robót Budowlanych, </w:t>
      </w:r>
    </w:p>
    <w:p w14:paraId="0ADE50EE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3) Specyfikacji Istotnych Warunków Zamówienia, </w:t>
      </w:r>
    </w:p>
    <w:p w14:paraId="3FC42B01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lastRenderedPageBreak/>
        <w:t xml:space="preserve">4) obowiązujących normach, z uwzględnieniem poniższych warunków: </w:t>
      </w:r>
    </w:p>
    <w:p w14:paraId="57055A63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- przy wycenie oferty szczególną uwagę należy zwrócić na elementy wykończeniowe, </w:t>
      </w:r>
    </w:p>
    <w:p w14:paraId="00D37FBB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- materiały mają być zastosowane z uwzględnieniem wszelkich wymogów zawartych w opisach dokumentacji wykonawczej oraz specyfikacji technicznej wykonania i odbioru robót, </w:t>
      </w:r>
    </w:p>
    <w:p w14:paraId="0FF5FC68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- wykonawca zobowiązany jest ściśle przestrzegać instrukcji montażu wszelkich systemów stosowanych w wykonywanym obiekcie według instrukcji wydanych przez producentów poszczególnych systemów, </w:t>
      </w:r>
    </w:p>
    <w:p w14:paraId="50E319CF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- 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 </w:t>
      </w:r>
    </w:p>
    <w:p w14:paraId="2D0BA668" w14:textId="65F80C7B" w:rsidR="00D92876" w:rsidRDefault="00B97873" w:rsidP="00B97873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>Termin gwarancji na wykonane roboty oraz zastosowane materiały minimum 60 miesięcy.</w:t>
      </w:r>
    </w:p>
    <w:p w14:paraId="0CA4DDA3" w14:textId="77777777" w:rsidR="00B97873" w:rsidRDefault="00B97873" w:rsidP="00676142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Zamawiający wymaga zatrudnienia przez wykonawcę lub podwykonawcę na podstawie umowy o pracę osób wykonujących czynności polegające na faktycznym wykonywaniu robót budowlano-montażowych objętych zakresem zamówienia, tj.: </w:t>
      </w:r>
    </w:p>
    <w:p w14:paraId="0007739C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1) roboty rozbiórkowe, </w:t>
      </w:r>
    </w:p>
    <w:p w14:paraId="23ACC094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2) roboty drogowe, </w:t>
      </w:r>
    </w:p>
    <w:p w14:paraId="70D835B3" w14:textId="77777777" w:rsid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 xml:space="preserve">3) roboty instalacyjne, </w:t>
      </w:r>
    </w:p>
    <w:p w14:paraId="7998C8A1" w14:textId="3564A344" w:rsidR="00D92876" w:rsidRPr="00B97873" w:rsidRDefault="00B97873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7873">
        <w:rPr>
          <w:rFonts w:asciiTheme="majorHAnsi" w:hAnsiTheme="majorHAnsi" w:cstheme="majorHAnsi"/>
          <w:sz w:val="20"/>
          <w:szCs w:val="20"/>
        </w:rPr>
        <w:t>o ile nie będą wykonywane przez daną osobę w ramach prowadzonej przez nią działalności gospodarczej, były wykonywane przez osoby zatrudnione (przez Wykonawcę lub podwykonawcę) na podstawie umowy o pracę. Wykonawca zobowiązany jest zawrzeć w każdej umowie o podwykonawstwo stosowne zapisy zobowiązujące podwykonawców do zatrudnienia na umowę o pracę wszystkich osób wykonujących wskazane wyżej czynności.</w:t>
      </w:r>
    </w:p>
    <w:p w14:paraId="4DEAB195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3FAB8C5A" w14:textId="77777777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399D0B5B" w14:textId="0ABF3CAC" w:rsidR="00B97873" w:rsidRDefault="009A040F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9A040F">
        <w:rPr>
          <w:rFonts w:asciiTheme="majorHAnsi" w:hAnsiTheme="majorHAnsi" w:cstheme="majorHAnsi"/>
          <w:sz w:val="20"/>
          <w:szCs w:val="20"/>
        </w:rPr>
        <w:t>45233120-6</w:t>
      </w:r>
    </w:p>
    <w:p w14:paraId="11A8BB90" w14:textId="3894F108" w:rsidR="009A040F" w:rsidRDefault="009A040F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9A040F">
        <w:rPr>
          <w:rFonts w:asciiTheme="majorHAnsi" w:hAnsiTheme="majorHAnsi" w:cstheme="majorHAnsi"/>
          <w:sz w:val="20"/>
          <w:szCs w:val="20"/>
        </w:rPr>
        <w:t>45232130-2</w:t>
      </w:r>
    </w:p>
    <w:p w14:paraId="03A9BE6D" w14:textId="346EC2A4" w:rsidR="009A040F" w:rsidRDefault="009A040F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9A040F">
        <w:rPr>
          <w:rFonts w:asciiTheme="majorHAnsi" w:hAnsiTheme="majorHAnsi" w:cstheme="majorHAnsi"/>
          <w:sz w:val="20"/>
          <w:szCs w:val="20"/>
        </w:rPr>
        <w:t>45231300-8</w:t>
      </w:r>
    </w:p>
    <w:p w14:paraId="65874AC1" w14:textId="113043E7" w:rsidR="009A040F" w:rsidRDefault="009A040F" w:rsidP="00B97873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9A040F">
        <w:rPr>
          <w:rFonts w:asciiTheme="majorHAnsi" w:hAnsiTheme="majorHAnsi" w:cstheme="majorHAnsi"/>
          <w:sz w:val="20"/>
          <w:szCs w:val="20"/>
        </w:rPr>
        <w:t>45316110-9</w:t>
      </w:r>
    </w:p>
    <w:p w14:paraId="3690A8C6" w14:textId="4117657C" w:rsidR="00CF5C2B" w:rsidRPr="00875D2A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A91176">
        <w:rPr>
          <w:rFonts w:asciiTheme="majorHAnsi" w:hAnsiTheme="majorHAnsi" w:cstheme="majorHAnsi"/>
          <w:sz w:val="20"/>
          <w:szCs w:val="20"/>
        </w:rPr>
        <w:t xml:space="preserve">nie </w:t>
      </w:r>
      <w:r w:rsidRPr="00875D2A">
        <w:rPr>
          <w:rFonts w:asciiTheme="majorHAnsi" w:hAnsiTheme="majorHAnsi" w:cstheme="majorHAnsi"/>
          <w:sz w:val="20"/>
          <w:szCs w:val="20"/>
        </w:rPr>
        <w:t>dopuszcza możliwoś</w:t>
      </w:r>
      <w:r w:rsidR="00B25C65">
        <w:rPr>
          <w:rFonts w:asciiTheme="majorHAnsi" w:hAnsiTheme="majorHAnsi" w:cstheme="majorHAnsi"/>
          <w:sz w:val="20"/>
          <w:szCs w:val="20"/>
        </w:rPr>
        <w:t>ć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91176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Zamawiający 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 xml:space="preserve">nie 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>przewiduje możliwoś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>ci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 udzielenie zamówień, o których mowa w art. 67 ust. 1 pkt 6 ustawy Prawo zamówień publicznych.</w:t>
      </w:r>
      <w:r w:rsidRPr="003C34B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308ACCA0" w14:textId="6E294E92" w:rsidR="00B25C65" w:rsidRDefault="00F41C3A" w:rsidP="003406A7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Od dnia zawarcia umowy do</w:t>
      </w:r>
      <w:r w:rsidR="00AB519B" w:rsidRPr="00AB519B">
        <w:t xml:space="preserve"> </w:t>
      </w:r>
      <w:r w:rsidR="00AB519B" w:rsidRPr="00AB519B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20.11.2020 r.  </w:t>
      </w:r>
    </w:p>
    <w:p w14:paraId="6448A935" w14:textId="77777777" w:rsidR="009279F1" w:rsidRPr="00E65B89" w:rsidRDefault="009279F1" w:rsidP="003406A7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365F4144" w14:textId="6798D594" w:rsidR="00B1094C" w:rsidRPr="00B1094C" w:rsidRDefault="003406A7" w:rsidP="00B1094C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Pr="003406A7">
        <w:rPr>
          <w:rFonts w:asciiTheme="majorHAnsi" w:hAnsiTheme="majorHAnsi" w:cstheme="majorHAnsi"/>
          <w:sz w:val="20"/>
          <w:szCs w:val="20"/>
        </w:rPr>
        <w:t xml:space="preserve"> okresie ostatnich pięciu lat przed upływem terminu składania ofert, a jeżeli okres prowadzenia działalności jest krótszy – w tym okresie, wykonali należycie, zgodnie z zasadami sztuki budowlanej i prawidłowo ukończyli jedną </w:t>
      </w:r>
      <w:r w:rsidRPr="003406A7">
        <w:rPr>
          <w:rFonts w:asciiTheme="majorHAnsi" w:hAnsiTheme="majorHAnsi" w:cstheme="majorHAnsi"/>
          <w:sz w:val="20"/>
          <w:szCs w:val="20"/>
        </w:rPr>
        <w:lastRenderedPageBreak/>
        <w:t>robotę budowlaną</w:t>
      </w:r>
      <w:r w:rsidR="00B1094C">
        <w:rPr>
          <w:rFonts w:asciiTheme="majorHAnsi" w:hAnsiTheme="majorHAnsi" w:cstheme="majorHAnsi"/>
          <w:sz w:val="20"/>
          <w:szCs w:val="20"/>
        </w:rPr>
        <w:t xml:space="preserve"> </w:t>
      </w:r>
      <w:r w:rsidR="00B1094C" w:rsidRPr="00B1094C">
        <w:rPr>
          <w:rFonts w:asciiTheme="majorHAnsi" w:hAnsiTheme="majorHAnsi" w:cstheme="majorHAnsi"/>
          <w:sz w:val="20"/>
          <w:szCs w:val="20"/>
        </w:rPr>
        <w:t>o wartości minimum 150.000,00 zł brutto polegającą na budowie lub przebudowie drogi o nawierzchni bitumicznej.</w:t>
      </w:r>
    </w:p>
    <w:p w14:paraId="51A2362B" w14:textId="5704E45D" w:rsidR="00B1094C" w:rsidRDefault="00B1094C" w:rsidP="00B1094C">
      <w:pPr>
        <w:pStyle w:val="Akapitzlist"/>
        <w:keepNext/>
        <w:spacing w:after="40" w:line="276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3A6122A6" w14:textId="77777777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40C7A23F" w14:textId="4DA56C6C" w:rsidR="00D67B4C" w:rsidRDefault="00D67B4C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D67B4C">
        <w:rPr>
          <w:rFonts w:asciiTheme="majorHAnsi" w:hAnsiTheme="majorHAnsi" w:cstheme="majorHAnsi"/>
          <w:sz w:val="20"/>
          <w:szCs w:val="20"/>
        </w:rPr>
        <w:t>Kierownik budowy posiadający uprawnienia budowlane do kierowania robotami budowlanymi w specjalności inżynieryjnej drogowej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5ED7E244" w14:textId="77777777" w:rsidR="00D67B4C" w:rsidRDefault="00D67B4C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</w:p>
    <w:p w14:paraId="7C813872" w14:textId="3433066C" w:rsidR="003D2F5F" w:rsidRDefault="003406A7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 których mowa w 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transgraniczne w rozumieniu przepisów tej ustawy oraz art. 20a ustawy z dnia 15 grudnia 2000 r. o samorządach zawodowych architektów, inżynierów budownictwa  (Dz. U. z 2019 r., poz. 1117).</w:t>
      </w:r>
    </w:p>
    <w:p w14:paraId="320789DB" w14:textId="5E3D510F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D67B4C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Va.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0234A009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</w:t>
      </w:r>
      <w:r w:rsidR="00B04F8D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oryginałem przez notariusza) należy załączyć do oferty. </w:t>
      </w:r>
    </w:p>
    <w:p w14:paraId="63184AD6" w14:textId="0EE91685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w terminie 3 dni od dnia zamieszczenia na stronie internetowej informacji, o której mowa w art. 86 ust. 5 ustawy PZP, przekaże zamawiającemu oświadczenie o przynależności lub braku przynależności do tej samej grupy kapitałowej, </w:t>
      </w:r>
      <w:r w:rsidR="00B04F8D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1F11A005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zakresie nie uregulowanym SIWZ, zastosowanie mają przepisy rozporządzenia Ministra Rozwoju z dnia 26 lipca 2016 r. </w:t>
      </w:r>
      <w:r w:rsidR="00B04F8D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F1343A9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BD42A9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w niniejszym rozdziale SIWZ. Oznacza to, że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7A1451E8" w:rsidR="002B58D9" w:rsidRPr="00C415A5" w:rsidRDefault="002B58D9" w:rsidP="00333EFD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415A5">
        <w:rPr>
          <w:rFonts w:asciiTheme="majorHAnsi" w:hAnsiTheme="majorHAnsi" w:cstheme="majorHAnsi"/>
          <w:bCs/>
          <w:sz w:val="20"/>
          <w:szCs w:val="20"/>
        </w:rPr>
        <w:t>Wykonawca zobowiązany jest wnieść wadium w wysokości</w:t>
      </w:r>
      <w:r w:rsidR="00C415A5" w:rsidRPr="00C41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415A5" w:rsidRPr="00C415A5">
        <w:rPr>
          <w:rFonts w:asciiTheme="majorHAnsi" w:hAnsiTheme="majorHAnsi" w:cstheme="majorHAnsi"/>
          <w:b/>
          <w:sz w:val="20"/>
          <w:szCs w:val="20"/>
        </w:rPr>
        <w:t>7</w:t>
      </w:r>
      <w:r w:rsidR="003406A7" w:rsidRPr="00C415A5">
        <w:rPr>
          <w:rFonts w:asciiTheme="majorHAnsi" w:hAnsiTheme="majorHAnsi" w:cstheme="majorHAnsi"/>
          <w:b/>
          <w:sz w:val="20"/>
          <w:szCs w:val="20"/>
        </w:rPr>
        <w:t xml:space="preserve"> 0</w:t>
      </w:r>
      <w:r w:rsidRPr="00C415A5">
        <w:rPr>
          <w:rFonts w:asciiTheme="majorHAnsi" w:hAnsiTheme="majorHAnsi" w:cstheme="majorHAnsi"/>
          <w:b/>
          <w:sz w:val="20"/>
          <w:szCs w:val="20"/>
        </w:rPr>
        <w:t>00,00 PLN</w:t>
      </w:r>
      <w:r w:rsidR="00541887" w:rsidRPr="00C415A5">
        <w:rPr>
          <w:rFonts w:asciiTheme="majorHAnsi" w:hAnsiTheme="majorHAnsi" w:cstheme="majorHAnsi"/>
          <w:bCs/>
          <w:sz w:val="20"/>
          <w:szCs w:val="20"/>
        </w:rPr>
        <w:t>,</w:t>
      </w:r>
      <w:r w:rsidR="00C415A5" w:rsidRPr="00C41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415A5">
        <w:rPr>
          <w:rFonts w:asciiTheme="majorHAnsi" w:hAnsiTheme="majorHAnsi" w:cstheme="majorHAnsi"/>
          <w:bCs/>
          <w:sz w:val="20"/>
          <w:szCs w:val="20"/>
        </w:rPr>
        <w:t>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5B4A5962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Uwaga! Wadium wnoszone w poręczeniach, gwarancjach bankowych, gwarancjach ubezpieczeniowych lub poręczeniach udzielanych przez podmioty, o których mowa w art. 45 ust. 6 pkt 5) ustawy, należy zdeponować przed upływem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w siedzibie Zamawiającego przy ul. Stefana Złotnickiego 12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,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BD42A9">
        <w:rPr>
          <w:rFonts w:asciiTheme="majorHAnsi" w:eastAsia="Arial Unicode MS" w:hAnsiTheme="majorHAnsi" w:cstheme="majorHAnsi"/>
          <w:sz w:val="20"/>
          <w:szCs w:val="20"/>
        </w:rPr>
        <w:t>– Kancelaria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i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zaadresować zgodnie z opisem przedstawionym w rozdziale X SIWZ. Godziny pracy Urzędu Miasta: w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poniedziałki od godz. 7:30 do godz. 17:00 oraz od wtorku do piątku od godz. 7:30 do godz. 15:30. 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2F5F" w:rsidRPr="00E65B89" w14:paraId="31F2659C" w14:textId="77777777" w:rsidTr="00DC1100">
        <w:tc>
          <w:tcPr>
            <w:tcW w:w="10490" w:type="dxa"/>
          </w:tcPr>
          <w:p w14:paraId="1B4C8275" w14:textId="5A947483" w:rsidR="006305A1" w:rsidRPr="006305A1" w:rsidRDefault="006305A1" w:rsidP="006305A1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05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„Przebudowa ulicy Zduńskiej”</w:t>
            </w:r>
          </w:p>
          <w:p w14:paraId="21A0D404" w14:textId="61357348" w:rsidR="003D2F5F" w:rsidRPr="003D2F5F" w:rsidRDefault="006305A1" w:rsidP="006305A1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05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sprawy: IM.271.38.2020.KM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067BD020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 xml:space="preserve">w Kancelarii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poprzez przekazanie jej pracownikowi Urzędu Miasta Zduńska Wola, do dnia </w:t>
      </w:r>
      <w:r w:rsidR="001B6D5D" w:rsidRPr="001B6D5D">
        <w:rPr>
          <w:rFonts w:asciiTheme="majorHAnsi" w:eastAsia="Arial Unicode MS" w:hAnsiTheme="majorHAnsi" w:cstheme="majorHAnsi"/>
          <w:b/>
          <w:bCs/>
          <w:sz w:val="20"/>
          <w:szCs w:val="20"/>
        </w:rPr>
        <w:t>13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1B6D5D">
        <w:rPr>
          <w:rFonts w:asciiTheme="majorHAnsi" w:eastAsia="Arial Unicode MS" w:hAnsiTheme="majorHAnsi" w:cstheme="majorHAnsi"/>
          <w:b/>
          <w:bCs/>
          <w:sz w:val="20"/>
          <w:szCs w:val="20"/>
        </w:rPr>
        <w:t>8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</w:t>
      </w:r>
      <w:r w:rsidR="00B17A8D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4E4F2222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B17A8D" w:rsidRPr="00B17A8D">
        <w:rPr>
          <w:rFonts w:asciiTheme="majorHAnsi" w:hAnsiTheme="majorHAnsi" w:cstheme="majorHAnsi"/>
          <w:b/>
          <w:bCs/>
          <w:sz w:val="20"/>
          <w:szCs w:val="20"/>
        </w:rPr>
        <w:t>13</w:t>
      </w:r>
      <w:r w:rsidR="000E693E" w:rsidRPr="00DC110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582FA4" w:rsidRPr="00DC1100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B17A8D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C602F5" w:rsidRPr="00DC1100">
        <w:rPr>
          <w:rFonts w:asciiTheme="majorHAnsi" w:hAnsiTheme="majorHAnsi" w:cstheme="majorHAnsi"/>
          <w:b/>
          <w:bCs/>
          <w:sz w:val="20"/>
          <w:szCs w:val="20"/>
        </w:rPr>
        <w:t>.20</w:t>
      </w:r>
      <w:r w:rsidR="001F659B" w:rsidRPr="00DC110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B17A8D">
        <w:rPr>
          <w:rFonts w:asciiTheme="majorHAnsi" w:hAnsiTheme="majorHAnsi" w:cstheme="majorHAnsi"/>
          <w:b/>
          <w:sz w:val="20"/>
          <w:szCs w:val="20"/>
        </w:rPr>
        <w:t>1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B17A8D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5EBC6D5E" w:rsidR="00BA6124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7DBC896F" w14:textId="77777777" w:rsidR="00F513E1" w:rsidRPr="00E65B89" w:rsidRDefault="00F513E1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DC0F43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DC0F43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DC0F43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DC0F43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(Pc)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DC0F43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4AA611" w:rsidR="003D2F5F" w:rsidRPr="002927E7" w:rsidRDefault="003D2F5F" w:rsidP="00DC0F4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DC0F43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P = Pc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Pc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(Cmax – Cb)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(Pc)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(Cmax – Cn)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Pc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Cn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Cb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Cmax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lastRenderedPageBreak/>
        <w:t>W przypadku gdy, w postępowaniu zostanie złożona jedna oferta niepodlegająca odrzuceniu Zamawiający przyzna tej ofercie 60 pkt w kryterium Całkowita cena oferty brutto (Pc)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</w:t>
      </w:r>
      <w:r w:rsidRPr="00EA5C8D">
        <w:rPr>
          <w:rFonts w:asciiTheme="majorHAnsi" w:hAnsiTheme="majorHAnsi" w:cstheme="majorHAnsi"/>
          <w:sz w:val="20"/>
          <w:szCs w:val="20"/>
        </w:rPr>
        <w:lastRenderedPageBreak/>
        <w:t>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ppkt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4333177A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06AE0F0A" w:rsidR="006629DC" w:rsidRPr="005E4F4F" w:rsidRDefault="006629DC" w:rsidP="004D1CD7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5E4F4F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5E4F4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5E4F4F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5E4F4F">
        <w:rPr>
          <w:rFonts w:asciiTheme="majorHAnsi" w:hAnsiTheme="majorHAnsi" w:cstheme="majorHAnsi"/>
          <w:sz w:val="20"/>
          <w:szCs w:val="20"/>
        </w:rPr>
        <w:br/>
      </w:r>
      <w:r w:rsidRPr="005E4F4F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750B3F" w:rsidRPr="005E4F4F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5E4F4F" w:rsidRPr="005E4F4F">
        <w:rPr>
          <w:rFonts w:asciiTheme="majorHAnsi" w:hAnsiTheme="majorHAnsi" w:cstheme="majorHAnsi"/>
          <w:b/>
          <w:i/>
          <w:sz w:val="20"/>
          <w:szCs w:val="20"/>
        </w:rPr>
        <w:t>Przebudowa ulicy Zduńskiej” nr sprawy: IM.271.38.2020.KM</w:t>
      </w:r>
      <w:r w:rsidR="0018757C" w:rsidRPr="005E4F4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E4F4F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5E4F4F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E22A7"/>
    <w:multiLevelType w:val="hybridMultilevel"/>
    <w:tmpl w:val="468AAF00"/>
    <w:lvl w:ilvl="0" w:tplc="0415001B">
      <w:start w:val="1"/>
      <w:numFmt w:val="lowerRoman"/>
      <w:lvlText w:val="%1."/>
      <w:lvlJc w:val="righ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692753"/>
    <w:multiLevelType w:val="hybridMultilevel"/>
    <w:tmpl w:val="9F7AABC0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2B3D092D"/>
    <w:multiLevelType w:val="hybridMultilevel"/>
    <w:tmpl w:val="75E8D032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5575D"/>
    <w:multiLevelType w:val="hybridMultilevel"/>
    <w:tmpl w:val="876EE776"/>
    <w:lvl w:ilvl="0" w:tplc="04150011">
      <w:start w:val="1"/>
      <w:numFmt w:val="decimal"/>
      <w:lvlText w:val="%1)"/>
      <w:lvlJc w:val="left"/>
      <w:pPr>
        <w:ind w:left="2703" w:hanging="360"/>
      </w:p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5" w15:restartNumberingAfterBreak="0">
    <w:nsid w:val="2EF65969"/>
    <w:multiLevelType w:val="hybridMultilevel"/>
    <w:tmpl w:val="B402634A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8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F3605"/>
    <w:multiLevelType w:val="hybridMultilevel"/>
    <w:tmpl w:val="1242AAE2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043507"/>
    <w:multiLevelType w:val="hybridMultilevel"/>
    <w:tmpl w:val="FA2886D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EC3E6C"/>
    <w:multiLevelType w:val="hybridMultilevel"/>
    <w:tmpl w:val="07DCED3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8" w15:restartNumberingAfterBreak="0">
    <w:nsid w:val="6F26629E"/>
    <w:multiLevelType w:val="hybridMultilevel"/>
    <w:tmpl w:val="419A095A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8F2966"/>
    <w:multiLevelType w:val="hybridMultilevel"/>
    <w:tmpl w:val="C0760CD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4F6DE7"/>
    <w:multiLevelType w:val="hybridMultilevel"/>
    <w:tmpl w:val="EBAE3AC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8"/>
  </w:num>
  <w:num w:numId="8">
    <w:abstractNumId w:val="21"/>
  </w:num>
  <w:num w:numId="9">
    <w:abstractNumId w:val="20"/>
  </w:num>
  <w:num w:numId="10">
    <w:abstractNumId w:val="25"/>
  </w:num>
  <w:num w:numId="11">
    <w:abstractNumId w:val="29"/>
  </w:num>
  <w:num w:numId="12">
    <w:abstractNumId w:val="49"/>
  </w:num>
  <w:num w:numId="13">
    <w:abstractNumId w:val="30"/>
  </w:num>
  <w:num w:numId="14">
    <w:abstractNumId w:val="39"/>
  </w:num>
  <w:num w:numId="15">
    <w:abstractNumId w:val="19"/>
  </w:num>
  <w:num w:numId="16">
    <w:abstractNumId w:val="37"/>
  </w:num>
  <w:num w:numId="17">
    <w:abstractNumId w:val="54"/>
  </w:num>
  <w:num w:numId="18">
    <w:abstractNumId w:val="48"/>
  </w:num>
  <w:num w:numId="19">
    <w:abstractNumId w:val="43"/>
  </w:num>
  <w:num w:numId="20">
    <w:abstractNumId w:val="46"/>
  </w:num>
  <w:num w:numId="21">
    <w:abstractNumId w:val="52"/>
  </w:num>
  <w:num w:numId="22">
    <w:abstractNumId w:val="31"/>
  </w:num>
  <w:num w:numId="23">
    <w:abstractNumId w:val="44"/>
  </w:num>
  <w:num w:numId="24">
    <w:abstractNumId w:val="50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26"/>
  </w:num>
  <w:num w:numId="27">
    <w:abstractNumId w:val="8"/>
  </w:num>
  <w:num w:numId="28">
    <w:abstractNumId w:val="51"/>
  </w:num>
  <w:num w:numId="29">
    <w:abstractNumId w:val="36"/>
  </w:num>
  <w:num w:numId="30">
    <w:abstractNumId w:val="24"/>
  </w:num>
  <w:num w:numId="31">
    <w:abstractNumId w:val="57"/>
  </w:num>
  <w:num w:numId="32">
    <w:abstractNumId w:val="38"/>
  </w:num>
  <w:num w:numId="33">
    <w:abstractNumId w:val="28"/>
  </w:num>
  <w:num w:numId="34">
    <w:abstractNumId w:val="61"/>
  </w:num>
  <w:num w:numId="35">
    <w:abstractNumId w:val="63"/>
  </w:num>
  <w:num w:numId="36">
    <w:abstractNumId w:val="45"/>
  </w:num>
  <w:num w:numId="37">
    <w:abstractNumId w:val="6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53"/>
  </w:num>
  <w:num w:numId="44">
    <w:abstractNumId w:val="42"/>
  </w:num>
  <w:num w:numId="45">
    <w:abstractNumId w:val="62"/>
  </w:num>
  <w:num w:numId="46">
    <w:abstractNumId w:val="35"/>
  </w:num>
  <w:num w:numId="47">
    <w:abstractNumId w:val="23"/>
  </w:num>
  <w:num w:numId="48">
    <w:abstractNumId w:val="60"/>
  </w:num>
  <w:num w:numId="49">
    <w:abstractNumId w:val="58"/>
  </w:num>
  <w:num w:numId="50">
    <w:abstractNumId w:val="32"/>
  </w:num>
  <w:num w:numId="51">
    <w:abstractNumId w:val="27"/>
  </w:num>
  <w:num w:numId="52">
    <w:abstractNumId w:val="15"/>
  </w:num>
  <w:num w:numId="53">
    <w:abstractNumId w:val="22"/>
  </w:num>
  <w:num w:numId="54">
    <w:abstractNumId w:val="16"/>
  </w:num>
  <w:num w:numId="55">
    <w:abstractNumId w:val="55"/>
  </w:num>
  <w:num w:numId="56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2354"/>
    <w:rsid w:val="00034CF3"/>
    <w:rsid w:val="00035C77"/>
    <w:rsid w:val="0004136C"/>
    <w:rsid w:val="00043F50"/>
    <w:rsid w:val="0004657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B0585"/>
    <w:rsid w:val="001B5F4D"/>
    <w:rsid w:val="001B6D5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6A7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4F4F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05A1"/>
    <w:rsid w:val="006312CA"/>
    <w:rsid w:val="006327E4"/>
    <w:rsid w:val="00634E7B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6CC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040F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2B86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1176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50EF"/>
    <w:rsid w:val="00AB519B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04F8D"/>
    <w:rsid w:val="00B1094C"/>
    <w:rsid w:val="00B142C0"/>
    <w:rsid w:val="00B15222"/>
    <w:rsid w:val="00B169EE"/>
    <w:rsid w:val="00B17A8D"/>
    <w:rsid w:val="00B2217B"/>
    <w:rsid w:val="00B22A90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873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42A9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15A5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585C"/>
    <w:rsid w:val="00D5626A"/>
    <w:rsid w:val="00D60108"/>
    <w:rsid w:val="00D62C61"/>
    <w:rsid w:val="00D66C61"/>
    <w:rsid w:val="00D67B4C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2876"/>
    <w:rsid w:val="00D9394B"/>
    <w:rsid w:val="00D9396E"/>
    <w:rsid w:val="00D93C90"/>
    <w:rsid w:val="00D94501"/>
    <w:rsid w:val="00D948AB"/>
    <w:rsid w:val="00DA5DDB"/>
    <w:rsid w:val="00DB18B0"/>
    <w:rsid w:val="00DB30F4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1C3A"/>
    <w:rsid w:val="00F47A4F"/>
    <w:rsid w:val="00F50696"/>
    <w:rsid w:val="00F513E1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6098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39</cp:revision>
  <cp:lastPrinted>2020-07-15T12:00:00Z</cp:lastPrinted>
  <dcterms:created xsi:type="dcterms:W3CDTF">2020-05-27T05:47:00Z</dcterms:created>
  <dcterms:modified xsi:type="dcterms:W3CDTF">2020-07-28T06:55:00Z</dcterms:modified>
</cp:coreProperties>
</file>