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427" w:type="dxa"/>
        <w:tblLook w:val="04A0" w:firstRow="1" w:lastRow="0" w:firstColumn="1" w:lastColumn="0" w:noHBand="0" w:noVBand="1"/>
      </w:tblPr>
      <w:tblGrid>
        <w:gridCol w:w="6237"/>
        <w:gridCol w:w="4198"/>
      </w:tblGrid>
      <w:tr w:rsidR="00E37F70" w:rsidRPr="009F4795" w14:paraId="6E8B314F" w14:textId="77777777" w:rsidTr="00077171">
        <w:trPr>
          <w:trHeight w:val="720"/>
        </w:trPr>
        <w:tc>
          <w:tcPr>
            <w:tcW w:w="1042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077171">
        <w:trPr>
          <w:trHeight w:val="282"/>
        </w:trPr>
        <w:tc>
          <w:tcPr>
            <w:tcW w:w="1042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077171">
        <w:trPr>
          <w:trHeight w:val="282"/>
        </w:trPr>
        <w:tc>
          <w:tcPr>
            <w:tcW w:w="1042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077171">
        <w:trPr>
          <w:trHeight w:val="282"/>
        </w:trPr>
        <w:tc>
          <w:tcPr>
            <w:tcW w:w="1042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077171">
        <w:trPr>
          <w:trHeight w:val="282"/>
        </w:trPr>
        <w:tc>
          <w:tcPr>
            <w:tcW w:w="1042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077171">
        <w:trPr>
          <w:trHeight w:val="907"/>
        </w:trPr>
        <w:tc>
          <w:tcPr>
            <w:tcW w:w="10427" w:type="dxa"/>
            <w:gridSpan w:val="2"/>
          </w:tcPr>
          <w:tbl>
            <w:tblPr>
              <w:tblW w:w="9413" w:type="dxa"/>
              <w:tblLook w:val="04A0" w:firstRow="1" w:lastRow="0" w:firstColumn="1" w:lastColumn="0" w:noHBand="0" w:noVBand="1"/>
            </w:tblPr>
            <w:tblGrid>
              <w:gridCol w:w="9421"/>
            </w:tblGrid>
            <w:tr w:rsidR="00CF5C2B" w:rsidRPr="00BD0A25" w14:paraId="211921EC" w14:textId="77777777" w:rsidTr="00077171">
              <w:trPr>
                <w:trHeight w:val="639"/>
              </w:trPr>
              <w:tc>
                <w:tcPr>
                  <w:tcW w:w="9413" w:type="dxa"/>
                </w:tcPr>
                <w:tbl>
                  <w:tblPr>
                    <w:tblW w:w="9205" w:type="dxa"/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CF5C2B" w:rsidRPr="00CC6D28" w14:paraId="124D32EB" w14:textId="77777777" w:rsidTr="00077171">
                    <w:trPr>
                      <w:trHeight w:val="312"/>
                    </w:trPr>
                    <w:tc>
                      <w:tcPr>
                        <w:tcW w:w="9205" w:type="dxa"/>
                      </w:tcPr>
                      <w:p w14:paraId="3241685B" w14:textId="29D5E37F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6B1BE7" w:rsidRPr="006B1BE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Konserwacja oświetlenia ulicznego na terenie miasta Zduńska Wola w 2021 r.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077171">
                    <w:trPr>
                      <w:trHeight w:val="327"/>
                    </w:trPr>
                    <w:tc>
                      <w:tcPr>
                        <w:tcW w:w="9205" w:type="dxa"/>
                      </w:tcPr>
                      <w:p w14:paraId="36A71C44" w14:textId="06D781AE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6B1BE7" w:rsidRPr="006B1BE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IT.271.81.2020.KP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077171">
              <w:trPr>
                <w:trHeight w:val="282"/>
              </w:trPr>
              <w:tc>
                <w:tcPr>
                  <w:tcW w:w="9413" w:type="dxa"/>
                </w:tcPr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077171">
        <w:trPr>
          <w:trHeight w:val="2291"/>
        </w:trPr>
        <w:tc>
          <w:tcPr>
            <w:tcW w:w="10427" w:type="dxa"/>
            <w:gridSpan w:val="2"/>
          </w:tcPr>
          <w:tbl>
            <w:tblPr>
              <w:tblW w:w="10219" w:type="dxa"/>
              <w:tblLook w:val="04A0" w:firstRow="1" w:lastRow="0" w:firstColumn="1" w:lastColumn="0" w:noHBand="0" w:noVBand="1"/>
            </w:tblPr>
            <w:tblGrid>
              <w:gridCol w:w="10219"/>
            </w:tblGrid>
            <w:tr w:rsidR="006B1BE7" w:rsidRPr="00562ABE" w14:paraId="6364A95D" w14:textId="77777777" w:rsidTr="00077171">
              <w:trPr>
                <w:trHeight w:val="238"/>
              </w:trPr>
              <w:tc>
                <w:tcPr>
                  <w:tcW w:w="10219" w:type="dxa"/>
                </w:tcPr>
                <w:p w14:paraId="67A5EC3C" w14:textId="77777777" w:rsidR="006B1BE7" w:rsidRPr="00562ABE" w:rsidRDefault="006B1BE7" w:rsidP="006B1BE7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866CD">
                    <w:rPr>
                      <w:rFonts w:asciiTheme="majorHAnsi" w:hAnsiTheme="majorHAnsi" w:cs="Segoe UI"/>
                      <w:sz w:val="20"/>
                    </w:rPr>
                    <w:t>Integralną część niniejszej SIWZ stanowią:</w:t>
                  </w:r>
                </w:p>
              </w:tc>
            </w:tr>
            <w:tr w:rsidR="006B1BE7" w:rsidRPr="00562ABE" w14:paraId="52007793" w14:textId="77777777" w:rsidTr="00077171">
              <w:trPr>
                <w:trHeight w:val="2053"/>
              </w:trPr>
              <w:tc>
                <w:tcPr>
                  <w:tcW w:w="10219" w:type="dxa"/>
                </w:tcPr>
                <w:tbl>
                  <w:tblPr>
                    <w:tblW w:w="9204" w:type="dxa"/>
                    <w:tblLook w:val="04A0" w:firstRow="1" w:lastRow="0" w:firstColumn="1" w:lastColumn="0" w:noHBand="0" w:noVBand="1"/>
                  </w:tblPr>
                  <w:tblGrid>
                    <w:gridCol w:w="5553"/>
                    <w:gridCol w:w="3651"/>
                  </w:tblGrid>
                  <w:tr w:rsidR="006B1BE7" w:rsidRPr="009866CD" w14:paraId="6A475095" w14:textId="77777777" w:rsidTr="00077171">
                    <w:trPr>
                      <w:trHeight w:val="191"/>
                    </w:trPr>
                    <w:tc>
                      <w:tcPr>
                        <w:tcW w:w="5553" w:type="dxa"/>
                      </w:tcPr>
                      <w:p w14:paraId="27C24062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318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Formularz ofertowy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622CC325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1</w:t>
                        </w:r>
                      </w:p>
                    </w:tc>
                  </w:tr>
                  <w:tr w:rsidR="006B1BE7" w:rsidRPr="009866CD" w14:paraId="1DCA8FF5" w14:textId="77777777" w:rsidTr="00077171">
                    <w:trPr>
                      <w:trHeight w:val="282"/>
                    </w:trPr>
                    <w:tc>
                      <w:tcPr>
                        <w:tcW w:w="5553" w:type="dxa"/>
                      </w:tcPr>
                      <w:p w14:paraId="4CEB64C8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Oświadczenie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D8621C5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2</w:t>
                        </w:r>
                      </w:p>
                    </w:tc>
                  </w:tr>
                  <w:tr w:rsidR="006B1BE7" w:rsidRPr="009866CD" w14:paraId="58683F2D" w14:textId="77777777" w:rsidTr="00077171">
                    <w:trPr>
                      <w:trHeight w:val="297"/>
                    </w:trPr>
                    <w:tc>
                      <w:tcPr>
                        <w:tcW w:w="5553" w:type="dxa"/>
                      </w:tcPr>
                      <w:p w14:paraId="7F017A8C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Oświadczenie – Grupa kapitałowa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6C7572D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3</w:t>
                        </w:r>
                      </w:p>
                    </w:tc>
                  </w:tr>
                  <w:tr w:rsidR="006B1BE7" w:rsidRPr="009866CD" w14:paraId="5CBD58E8" w14:textId="77777777" w:rsidTr="00077171">
                    <w:trPr>
                      <w:trHeight w:val="1175"/>
                    </w:trPr>
                    <w:tc>
                      <w:tcPr>
                        <w:tcW w:w="5553" w:type="dxa"/>
                      </w:tcPr>
                      <w:p w14:paraId="324C757E" w14:textId="77777777" w:rsidR="006B1BE7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Wzór umowy</w:t>
                        </w:r>
                      </w:p>
                      <w:p w14:paraId="3A443BF0" w14:textId="77777777" w:rsidR="006B1BE7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Opis czynności</w:t>
                        </w:r>
                      </w:p>
                      <w:p w14:paraId="66BC45DE" w14:textId="77777777" w:rsidR="006B1BE7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Wykaz punktów</w:t>
                        </w:r>
                      </w:p>
                      <w:p w14:paraId="5FD15420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B01B73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Zakres czynności zamówienia uzupełniającego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C9540D7" w14:textId="77777777" w:rsidR="006B1BE7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4</w:t>
                        </w:r>
                      </w:p>
                      <w:p w14:paraId="04E5638E" w14:textId="77777777" w:rsidR="006B1BE7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EC6F51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5</w:t>
                        </w:r>
                      </w:p>
                      <w:p w14:paraId="6F290457" w14:textId="77777777" w:rsidR="006B1BE7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6</w:t>
                        </w:r>
                      </w:p>
                      <w:p w14:paraId="139881EF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7</w:t>
                        </w:r>
                      </w:p>
                    </w:tc>
                  </w:tr>
                </w:tbl>
                <w:p w14:paraId="6708A720" w14:textId="77777777" w:rsidR="006B1BE7" w:rsidRPr="00562ABE" w:rsidRDefault="006B1BE7" w:rsidP="006B1BE7">
                  <w:pPr>
                    <w:pStyle w:val="Tekstpodstawowy"/>
                    <w:spacing w:after="40"/>
                    <w:ind w:left="284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</w:p>
              </w:tc>
            </w:tr>
          </w:tbl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077171">
        <w:trPr>
          <w:trHeight w:val="282"/>
        </w:trPr>
        <w:tc>
          <w:tcPr>
            <w:tcW w:w="1042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077171">
        <w:trPr>
          <w:trHeight w:val="282"/>
        </w:trPr>
        <w:tc>
          <w:tcPr>
            <w:tcW w:w="1042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562ABE" w14:paraId="51476276" w14:textId="77777777" w:rsidTr="00077171">
        <w:trPr>
          <w:trHeight w:val="282"/>
        </w:trPr>
        <w:tc>
          <w:tcPr>
            <w:tcW w:w="5996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4431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077171">
        <w:trPr>
          <w:trHeight w:val="282"/>
        </w:trPr>
        <w:tc>
          <w:tcPr>
            <w:tcW w:w="5996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077171">
        <w:trPr>
          <w:trHeight w:val="282"/>
        </w:trPr>
        <w:tc>
          <w:tcPr>
            <w:tcW w:w="5996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077171">
        <w:trPr>
          <w:trHeight w:val="278"/>
        </w:trPr>
        <w:tc>
          <w:tcPr>
            <w:tcW w:w="5996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077171">
        <w:trPr>
          <w:trHeight w:val="282"/>
        </w:trPr>
        <w:tc>
          <w:tcPr>
            <w:tcW w:w="5996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077171">
        <w:trPr>
          <w:trHeight w:val="270"/>
        </w:trPr>
        <w:tc>
          <w:tcPr>
            <w:tcW w:w="5996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077171">
        <w:trPr>
          <w:trHeight w:val="270"/>
        </w:trPr>
        <w:tc>
          <w:tcPr>
            <w:tcW w:w="5996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077171">
        <w:trPr>
          <w:trHeight w:val="270"/>
        </w:trPr>
        <w:tc>
          <w:tcPr>
            <w:tcW w:w="5996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077171">
        <w:trPr>
          <w:trHeight w:val="282"/>
        </w:trPr>
        <w:tc>
          <w:tcPr>
            <w:tcW w:w="5996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077171">
        <w:trPr>
          <w:trHeight w:val="267"/>
        </w:trPr>
        <w:tc>
          <w:tcPr>
            <w:tcW w:w="5996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077171">
        <w:trPr>
          <w:trHeight w:val="773"/>
        </w:trPr>
        <w:tc>
          <w:tcPr>
            <w:tcW w:w="1042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077171">
        <w:trPr>
          <w:trHeight w:val="1696"/>
        </w:trPr>
        <w:tc>
          <w:tcPr>
            <w:tcW w:w="1042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05F7301" w:rsidR="008C6170" w:rsidRPr="00E65B89" w:rsidRDefault="006D5EEE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6D5EEE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0DDC95BB" w14:textId="31F492C2" w:rsidR="001F2F68" w:rsidRPr="001F2F68" w:rsidRDefault="001F2F68" w:rsidP="001F2F68">
      <w:pPr>
        <w:pStyle w:val="Akapitzlist"/>
        <w:numPr>
          <w:ilvl w:val="0"/>
          <w:numId w:val="37"/>
        </w:numPr>
        <w:rPr>
          <w:rFonts w:asciiTheme="majorHAnsi" w:hAnsiTheme="majorHAnsi" w:cstheme="majorHAnsi"/>
          <w:sz w:val="20"/>
          <w:szCs w:val="20"/>
        </w:rPr>
      </w:pPr>
      <w:bookmarkStart w:id="0" w:name="_Hlk57236288"/>
      <w:r w:rsidRPr="001F2F68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bookmarkEnd w:id="0"/>
      <w:r w:rsidRPr="001F2F68">
        <w:rPr>
          <w:rFonts w:asciiTheme="majorHAnsi" w:hAnsiTheme="majorHAnsi" w:cstheme="majorHAnsi"/>
          <w:sz w:val="20"/>
          <w:szCs w:val="20"/>
        </w:rPr>
        <w:t>wykonanie zadania polegającego na prowadzeniu konserwacji oświetlenia ulicznego na terenie miasta Zduńska Wola.</w:t>
      </w:r>
    </w:p>
    <w:p w14:paraId="149A1EB3" w14:textId="65935C7F" w:rsidR="001F2F68" w:rsidRPr="001F2F68" w:rsidRDefault="001F2F68" w:rsidP="001F2F68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2F68">
        <w:rPr>
          <w:rFonts w:asciiTheme="majorHAnsi" w:hAnsiTheme="majorHAnsi" w:cstheme="majorHAnsi"/>
          <w:sz w:val="20"/>
          <w:szCs w:val="20"/>
        </w:rPr>
        <w:t>Przedmiotem zamówienia jest</w:t>
      </w:r>
      <w:r>
        <w:rPr>
          <w:rFonts w:asciiTheme="majorHAnsi" w:hAnsiTheme="majorHAnsi" w:cstheme="majorHAnsi"/>
          <w:sz w:val="20"/>
          <w:szCs w:val="20"/>
        </w:rPr>
        <w:t xml:space="preserve"> u</w:t>
      </w:r>
      <w:r w:rsidRPr="001F2F68">
        <w:rPr>
          <w:rFonts w:asciiTheme="majorHAnsi" w:hAnsiTheme="majorHAnsi" w:cstheme="majorHAnsi"/>
          <w:sz w:val="20"/>
          <w:szCs w:val="20"/>
        </w:rPr>
        <w:t>trzymanie w należytej sprawności sieci oświetlenia poprzez:</w:t>
      </w:r>
    </w:p>
    <w:p w14:paraId="7F3FBCA8" w14:textId="020E4812" w:rsidR="007B733F" w:rsidRP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733F">
        <w:rPr>
          <w:rFonts w:asciiTheme="majorHAnsi" w:hAnsiTheme="majorHAnsi" w:cstheme="majorHAnsi"/>
          <w:sz w:val="20"/>
          <w:szCs w:val="20"/>
        </w:rPr>
        <w:t>dokonywanie bieżących przeglądów i konserwacji  opraw, słupów oświetleniowych,  rozdzielni podziałowych i rozdzielni głównej z pomiarem wraz z urządzeniami sterującymi,</w:t>
      </w:r>
    </w:p>
    <w:p w14:paraId="4B357B7B" w14:textId="1BA6FA95" w:rsidR="007B733F" w:rsidRP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733F">
        <w:rPr>
          <w:rFonts w:asciiTheme="majorHAnsi" w:hAnsiTheme="majorHAnsi" w:cstheme="majorHAnsi"/>
          <w:sz w:val="20"/>
          <w:szCs w:val="20"/>
        </w:rPr>
        <w:t>wymianę zużytych, uszkodzonych lub skradzionych: lamp, bezpieczników, układów zapłonowych, stateczników w oprawach, drzwiczek do tablic rozdzielczych, pokryw słupowych, opraw, kloszy w oprawach, słupów wraz z zakupem ww. materiałów oraz sporządzania protokołów z wykonywanych czynności z wykazem wymienionych-zainstalowanych materiałów,</w:t>
      </w:r>
    </w:p>
    <w:p w14:paraId="5DCF00AA" w14:textId="12F6FBF9" w:rsidR="007B733F" w:rsidRP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733F">
        <w:rPr>
          <w:rFonts w:asciiTheme="majorHAnsi" w:hAnsiTheme="majorHAnsi" w:cstheme="majorHAnsi"/>
          <w:sz w:val="20"/>
          <w:szCs w:val="20"/>
        </w:rPr>
        <w:t>wymianę uszkodzonych bądź wadliwych zabezpieczeń zwarciowych, różnicowoprądowych, ochronników przeciwprzepięciowych i zegarów sterujących wraz z zakupem ww. materiałów,</w:t>
      </w:r>
    </w:p>
    <w:p w14:paraId="69595192" w14:textId="57A00A47" w:rsidR="007B733F" w:rsidRP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733F">
        <w:rPr>
          <w:rFonts w:asciiTheme="majorHAnsi" w:hAnsiTheme="majorHAnsi" w:cstheme="majorHAnsi"/>
          <w:sz w:val="20"/>
          <w:szCs w:val="20"/>
        </w:rPr>
        <w:t>okresowe ustawianie zegarów sterujących włączeniem i wyłączeniem oświetlenia w zależności od długości dnia i wskazań Zamawiającego,</w:t>
      </w:r>
    </w:p>
    <w:p w14:paraId="3A68F9F5" w14:textId="21874586" w:rsidR="007B733F" w:rsidRP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733F">
        <w:rPr>
          <w:rFonts w:asciiTheme="majorHAnsi" w:hAnsiTheme="majorHAnsi" w:cstheme="majorHAnsi"/>
          <w:sz w:val="20"/>
          <w:szCs w:val="20"/>
        </w:rPr>
        <w:t>kontrol</w:t>
      </w:r>
      <w:r>
        <w:rPr>
          <w:rFonts w:asciiTheme="majorHAnsi" w:hAnsiTheme="majorHAnsi" w:cstheme="majorHAnsi"/>
          <w:sz w:val="20"/>
          <w:szCs w:val="20"/>
        </w:rPr>
        <w:t>ę</w:t>
      </w:r>
      <w:r w:rsidRPr="007B733F">
        <w:rPr>
          <w:rFonts w:asciiTheme="majorHAnsi" w:hAnsiTheme="majorHAnsi" w:cstheme="majorHAnsi"/>
          <w:sz w:val="20"/>
          <w:szCs w:val="20"/>
        </w:rPr>
        <w:t xml:space="preserve"> sprawności oświetlenia w godzinach załączania, tj. w godzinach wieczornych i nocnych, zgodnie z zasadami wiedzy technicznej,</w:t>
      </w:r>
    </w:p>
    <w:p w14:paraId="6849F01D" w14:textId="7F302499" w:rsidR="007B733F" w:rsidRP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</w:t>
      </w:r>
      <w:r w:rsidRPr="007B733F">
        <w:rPr>
          <w:rFonts w:asciiTheme="majorHAnsi" w:hAnsiTheme="majorHAnsi" w:cstheme="majorHAnsi"/>
          <w:sz w:val="20"/>
          <w:szCs w:val="20"/>
        </w:rPr>
        <w:t xml:space="preserve">ontaż i demontaż dekoracji świątecznej z okazji Świąt Bożego Narodzenia, stanowiącej własność Zamawiającego. </w:t>
      </w:r>
    </w:p>
    <w:p w14:paraId="02A02B56" w14:textId="1047A7E0" w:rsidR="007B733F" w:rsidRDefault="007B733F" w:rsidP="007B733F">
      <w:pPr>
        <w:pStyle w:val="Akapitzlist"/>
        <w:numPr>
          <w:ilvl w:val="0"/>
          <w:numId w:val="49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733F">
        <w:rPr>
          <w:rFonts w:asciiTheme="majorHAnsi" w:hAnsiTheme="majorHAnsi" w:cstheme="majorHAnsi"/>
          <w:sz w:val="20"/>
          <w:szCs w:val="20"/>
        </w:rPr>
        <w:t>wykonywani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7B733F">
        <w:rPr>
          <w:rFonts w:asciiTheme="majorHAnsi" w:hAnsiTheme="majorHAnsi" w:cstheme="majorHAnsi"/>
          <w:sz w:val="20"/>
          <w:szCs w:val="20"/>
        </w:rPr>
        <w:t xml:space="preserve"> innych czynności eksploatacyjnych i konserwacyjnych urządzeń oświetleniowych, których zakres oraz warunki realizacji zostały określone w załącznikach do SIWZ.</w:t>
      </w:r>
    </w:p>
    <w:p w14:paraId="41009259" w14:textId="06E7E1A1" w:rsidR="001F2F68" w:rsidRDefault="001F2F68" w:rsidP="001F2F68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2F68">
        <w:rPr>
          <w:rFonts w:asciiTheme="majorHAnsi" w:hAnsiTheme="majorHAnsi" w:cstheme="majorHAnsi"/>
          <w:sz w:val="20"/>
          <w:szCs w:val="20"/>
        </w:rPr>
        <w:t>Szczegółowo przedmiot zamówienia określony został w załączniku nr 1 i 5 do SIWZ.</w:t>
      </w:r>
    </w:p>
    <w:p w14:paraId="589EFC1C" w14:textId="77777777" w:rsidR="001F2F68" w:rsidRPr="001F2F68" w:rsidRDefault="001F2F68" w:rsidP="001F2F68">
      <w:pPr>
        <w:pStyle w:val="Akapitzlist"/>
        <w:numPr>
          <w:ilvl w:val="0"/>
          <w:numId w:val="37"/>
        </w:numPr>
        <w:rPr>
          <w:rFonts w:asciiTheme="majorHAnsi" w:hAnsiTheme="majorHAnsi" w:cstheme="majorHAnsi"/>
          <w:sz w:val="20"/>
          <w:szCs w:val="20"/>
        </w:rPr>
      </w:pPr>
      <w:r w:rsidRPr="001F2F68">
        <w:rPr>
          <w:rFonts w:asciiTheme="majorHAnsi" w:hAnsiTheme="majorHAnsi" w:cstheme="majorHAnsi"/>
          <w:sz w:val="20"/>
          <w:szCs w:val="20"/>
        </w:rPr>
        <w:t>Wykaz punktów poboru objętych konserwacją zawiera załącznik nr 6 do SIWZ.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69EFED9F" w14:textId="7BCBE937" w:rsidR="00F2743E" w:rsidRPr="00C2280A" w:rsidRDefault="00F2743E" w:rsidP="00C2280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AF34DA">
        <w:rPr>
          <w:rFonts w:asciiTheme="majorHAnsi" w:hAnsiTheme="majorHAnsi" w:cstheme="majorHAnsi"/>
          <w:sz w:val="20"/>
          <w:szCs w:val="20"/>
        </w:rPr>
        <w:t xml:space="preserve">Wymagania dotyczące zatrudnienia na umowę o pracę: Zamawiający wymaga zatrudnienia przez wykonawcę lub podwykonawcę na podstawie umowy o pracę osób wykonujących </w:t>
      </w:r>
      <w:r w:rsidR="00AF34DA" w:rsidRPr="00AF34DA">
        <w:rPr>
          <w:rFonts w:asciiTheme="majorHAnsi" w:hAnsiTheme="majorHAnsi" w:cstheme="majorHAnsi"/>
          <w:sz w:val="20"/>
          <w:szCs w:val="20"/>
        </w:rPr>
        <w:t>czynności</w:t>
      </w:r>
      <w:r w:rsidR="00AF34DA">
        <w:rPr>
          <w:rFonts w:asciiTheme="majorHAnsi" w:hAnsiTheme="majorHAnsi" w:cstheme="majorHAnsi"/>
          <w:sz w:val="20"/>
          <w:szCs w:val="20"/>
        </w:rPr>
        <w:t xml:space="preserve"> opisane w pkt </w:t>
      </w:r>
      <w:r w:rsidR="00C2280A">
        <w:rPr>
          <w:rFonts w:asciiTheme="majorHAnsi" w:hAnsiTheme="majorHAnsi" w:cstheme="majorHAnsi"/>
          <w:sz w:val="20"/>
          <w:szCs w:val="20"/>
        </w:rPr>
        <w:t xml:space="preserve">2  </w:t>
      </w:r>
      <w:r w:rsidRPr="00C2280A">
        <w:rPr>
          <w:rFonts w:asciiTheme="majorHAnsi" w:hAnsiTheme="majorHAnsi" w:cstheme="majorHAnsi"/>
          <w:sz w:val="20"/>
          <w:szCs w:val="20"/>
        </w:rPr>
        <w:t xml:space="preserve">o ile nie będą wykonywane przez </w:t>
      </w:r>
      <w:r w:rsidRPr="00C2280A">
        <w:rPr>
          <w:rFonts w:asciiTheme="majorHAnsi" w:hAnsiTheme="majorHAnsi" w:cstheme="majorHAnsi"/>
          <w:sz w:val="20"/>
          <w:szCs w:val="20"/>
        </w:rPr>
        <w:lastRenderedPageBreak/>
        <w:t>daną osobę w ramach prowadzonej przez nią działalności gospodarczej, były wykonywane przez osoby zatrudnione (przez Wykonawcę lub podwykonawcę) na podstawie umowy</w:t>
      </w:r>
      <w:r w:rsidR="00993E96" w:rsidRPr="00C2280A">
        <w:rPr>
          <w:rFonts w:asciiTheme="majorHAnsi" w:hAnsiTheme="majorHAnsi" w:cstheme="majorHAnsi"/>
          <w:sz w:val="20"/>
          <w:szCs w:val="20"/>
        </w:rPr>
        <w:t xml:space="preserve"> </w:t>
      </w:r>
      <w:r w:rsidRPr="00C2280A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597536AF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59D973D0" w14:textId="77777777" w:rsidR="006B1BE7" w:rsidRDefault="006B1BE7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6B1BE7">
        <w:rPr>
          <w:rFonts w:asciiTheme="majorHAnsi" w:hAnsiTheme="majorHAnsi" w:cstheme="majorHAnsi"/>
          <w:sz w:val="20"/>
          <w:szCs w:val="20"/>
        </w:rPr>
        <w:t>50232100 -1 - Usługi w zakresie konserwacji oświetlenia ulicznego;</w:t>
      </w:r>
    </w:p>
    <w:p w14:paraId="3690A8C6" w14:textId="263BA945" w:rsidR="00CF5C2B" w:rsidRPr="00875D2A" w:rsidRDefault="00CF5C2B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F69D6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F69D6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58F513C2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b/>
          <w:bCs/>
          <w:sz w:val="20"/>
          <w:szCs w:val="20"/>
        </w:rPr>
        <w:t>Zamawiający przewiduje możliwoś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>ci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 udzielenie zamówień, o których mowa w art. 67 ust. 1 pkt 6 ustawy Prawo zamówień publicznych.</w:t>
      </w:r>
      <w:r w:rsidRPr="003C34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8E7A055" w14:textId="77777777" w:rsidR="008E7492" w:rsidRPr="008E7492" w:rsidRDefault="008E7492" w:rsidP="008E7492">
      <w:pPr>
        <w:tabs>
          <w:tab w:val="left" w:pos="3855"/>
        </w:tabs>
        <w:spacing w:after="4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E7492">
        <w:rPr>
          <w:rFonts w:asciiTheme="majorHAnsi" w:hAnsiTheme="majorHAnsi" w:cstheme="majorHAnsi"/>
          <w:sz w:val="20"/>
          <w:szCs w:val="20"/>
        </w:rPr>
        <w:t>Zakres przewidywanego zamówienia będzie polegać na powtórzeniu podobnych usług co w zamówieniu podstawowym. Szczegółowy zakres zamówienia zawiera załącznik nr 7 do SIWZ  - Zakres czynności zamówienia uzupełniającego. Zamówienie zostanie udzielone na ogólnych warunkach określonych we wzorze umowy dotyczącej zamówienia podstawowego (załącznik nr 4 do SIWZ). Termin wykonania zamówienia wynosić będzie do 6 miesięcy, licząc od dnia udzielenia zamówienia.</w:t>
      </w:r>
    </w:p>
    <w:p w14:paraId="1ADCEB25" w14:textId="08FE9B13" w:rsidR="008E7492" w:rsidRPr="008E7492" w:rsidRDefault="008E7492" w:rsidP="008E7492">
      <w:pPr>
        <w:tabs>
          <w:tab w:val="left" w:pos="3855"/>
        </w:tabs>
        <w:spacing w:after="40" w:line="276" w:lineRule="auto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E7492">
        <w:rPr>
          <w:rFonts w:asciiTheme="majorHAnsi" w:hAnsiTheme="majorHAnsi" w:cstheme="majorHAnsi"/>
          <w:b/>
          <w:bCs/>
          <w:sz w:val="20"/>
          <w:szCs w:val="20"/>
        </w:rPr>
        <w:t>W ofercie należy wycenić jedynie wykonanie zamówienia podstawowego.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5AF0BBC6" w14:textId="1277ACE0" w:rsidR="008E7492" w:rsidRPr="008E7492" w:rsidRDefault="008E7492" w:rsidP="008E7492">
      <w:pPr>
        <w:widowControl w:val="0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</w:pPr>
      <w:r w:rsidRPr="008E7492"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>od 1 stycznia 202</w:t>
      </w:r>
      <w:r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>1</w:t>
      </w:r>
      <w:r w:rsidRPr="008E7492"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 xml:space="preserve"> roku do 31 grudnia 202</w:t>
      </w:r>
      <w:r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>1</w:t>
      </w:r>
      <w:r w:rsidRPr="008E7492"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 xml:space="preserve"> roku</w:t>
      </w:r>
    </w:p>
    <w:p w14:paraId="3D4D3AFF" w14:textId="77777777" w:rsidR="006054F6" w:rsidRPr="00A606B4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A5E6CCA" w14:textId="4C4EC236" w:rsidR="00BD11A4" w:rsidRPr="00E65B89" w:rsidRDefault="00BD11A4" w:rsidP="007E3449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7E3449">
      <w:pPr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7E3449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5143BD5D" w:rsidR="003D2F5F" w:rsidRDefault="003D2F5F" w:rsidP="007E3449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76371534" w14:textId="1893E56A" w:rsidR="00077171" w:rsidRPr="00077171" w:rsidRDefault="00077171" w:rsidP="007E3449">
      <w:pPr>
        <w:numPr>
          <w:ilvl w:val="0"/>
          <w:numId w:val="50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Wykonawca spełni warunek jeżeli wykaże, że w okresie ostatnich trzech lat przed upływem terminu składania ofert, a jeżeli okres prowadzenia działalności jest krótszy –– w tym okresie, wykonał a w przypadku świadczeń okresowych lub ciągłych – wykonywał należycie co najmniej jedno zamówienie którego przedmiotem były prace elektryczne - konserwacyjne i/lub montażowe oświetlenia ulicznego o łącznej wartości co najmniej 1</w:t>
      </w:r>
      <w:r w:rsidR="00DF3B22">
        <w:rPr>
          <w:rFonts w:asciiTheme="majorHAnsi" w:hAnsiTheme="majorHAnsi" w:cstheme="majorHAnsi"/>
          <w:sz w:val="20"/>
          <w:szCs w:val="20"/>
        </w:rPr>
        <w:t>0</w:t>
      </w:r>
      <w:r w:rsidRPr="00077171">
        <w:rPr>
          <w:rFonts w:asciiTheme="majorHAnsi" w:hAnsiTheme="majorHAnsi" w:cstheme="majorHAnsi"/>
          <w:sz w:val="20"/>
          <w:szCs w:val="20"/>
        </w:rPr>
        <w:t>0 000,00 zł brutto.</w:t>
      </w:r>
    </w:p>
    <w:p w14:paraId="3A3574C9" w14:textId="77777777" w:rsidR="00077171" w:rsidRPr="00077171" w:rsidRDefault="00077171" w:rsidP="007E3449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2FCE1777" w14:textId="77777777" w:rsidR="00077171" w:rsidRPr="00077171" w:rsidRDefault="00077171" w:rsidP="007E3449">
      <w:pPr>
        <w:numPr>
          <w:ilvl w:val="0"/>
          <w:numId w:val="50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Wykonawca spełni warunek jeżeli wykaże, że dysponuje:</w:t>
      </w:r>
    </w:p>
    <w:p w14:paraId="1066FEE9" w14:textId="77777777" w:rsidR="00077171" w:rsidRPr="00077171" w:rsidRDefault="00077171" w:rsidP="007E3449">
      <w:pPr>
        <w:numPr>
          <w:ilvl w:val="0"/>
          <w:numId w:val="51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minimum 1 osobą posiadającą uprawnienia do kierowania robotami budowlanymi w specjalności instalacyjnej w zakresie sieci, instalacji i urządzeń elektrycznych i elektroenergetycznych bez ograniczeń,</w:t>
      </w:r>
    </w:p>
    <w:p w14:paraId="5A4DD97B" w14:textId="77777777" w:rsidR="00077171" w:rsidRPr="00077171" w:rsidRDefault="00077171" w:rsidP="007E3449">
      <w:pPr>
        <w:numPr>
          <w:ilvl w:val="0"/>
          <w:numId w:val="51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minimum jedną osobą na stanowisko kierownika prac elektrycznych i elektroenergetycznych posiadającą uprawnienia budowlane do kierowania robotami budowlanymi w specjalności instalacyjnej w zakresie sieci elektrycznych oraz elektroenergetycznych lub odpowiadające im ważne uprawnienia budowlane, które zostały wydane na podstawie  wcześniej obowiązujących przepisów oraz posiadającą co najmniej 3 lata doświadczenia w kierowaniu pracami w zakresie konserwacji oświetlenia ulicznego.</w:t>
      </w:r>
    </w:p>
    <w:p w14:paraId="58D451A8" w14:textId="2ECA6785" w:rsidR="00F93CDC" w:rsidRDefault="00F93CDC" w:rsidP="007E3449">
      <w:pPr>
        <w:numPr>
          <w:ilvl w:val="0"/>
          <w:numId w:val="51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93CDC">
        <w:rPr>
          <w:rFonts w:asciiTheme="majorHAnsi" w:hAnsiTheme="majorHAnsi" w:cstheme="majorHAnsi"/>
          <w:sz w:val="20"/>
          <w:szCs w:val="20"/>
        </w:rPr>
        <w:t xml:space="preserve">minimum jedną osobą na stanowisko dozoru w zakresie: obsługi, konserwacji, remontów, montażu, kontrolno-pomiarowym dla urządzeń, instalacji i sieci elektroenergetycznych o napięciu min. 1 </w:t>
      </w:r>
      <w:proofErr w:type="spellStart"/>
      <w:r w:rsidRPr="00F93CDC">
        <w:rPr>
          <w:rFonts w:asciiTheme="majorHAnsi" w:hAnsiTheme="majorHAnsi" w:cstheme="majorHAnsi"/>
          <w:sz w:val="20"/>
          <w:szCs w:val="20"/>
        </w:rPr>
        <w:t>kV</w:t>
      </w:r>
      <w:proofErr w:type="spellEnd"/>
      <w:r w:rsidRPr="00F93CDC">
        <w:rPr>
          <w:rFonts w:asciiTheme="majorHAnsi" w:hAnsiTheme="majorHAnsi" w:cstheme="majorHAnsi"/>
          <w:sz w:val="20"/>
          <w:szCs w:val="20"/>
        </w:rPr>
        <w:t xml:space="preserve"> i sieci elektrycznego oświetlenia ulicznego posiadającymi (każda z osobna) świadectwo kwalifikacyjne kat. SEP-D do 1 </w:t>
      </w:r>
      <w:proofErr w:type="spellStart"/>
      <w:r w:rsidRPr="00F93CDC">
        <w:rPr>
          <w:rFonts w:asciiTheme="majorHAnsi" w:hAnsiTheme="majorHAnsi" w:cstheme="majorHAnsi"/>
          <w:sz w:val="20"/>
          <w:szCs w:val="20"/>
        </w:rPr>
        <w:t>kV</w:t>
      </w:r>
      <w:proofErr w:type="spellEnd"/>
      <w:r>
        <w:rPr>
          <w:rFonts w:asciiTheme="majorHAnsi" w:hAnsiTheme="majorHAnsi" w:cstheme="majorHAnsi"/>
          <w:sz w:val="20"/>
          <w:szCs w:val="20"/>
        </w:rPr>
        <w:t>,</w:t>
      </w:r>
    </w:p>
    <w:p w14:paraId="1C59742B" w14:textId="0F54FE46" w:rsidR="00F93CDC" w:rsidRPr="00F93CDC" w:rsidRDefault="00F93CDC" w:rsidP="007E3449">
      <w:pPr>
        <w:numPr>
          <w:ilvl w:val="0"/>
          <w:numId w:val="51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93CDC">
        <w:rPr>
          <w:rFonts w:asciiTheme="majorHAnsi" w:hAnsiTheme="majorHAnsi" w:cstheme="majorHAnsi"/>
          <w:sz w:val="20"/>
          <w:szCs w:val="20"/>
        </w:rPr>
        <w:t xml:space="preserve">minimum dwoma osobami na stanowisko eksploatacji w zakresie: obsługi, konserwacji, remontów, montażu, kontrolno-pomiarowym dla urządzeń, instalacji i sieci elektroenergetycznych o napięciu min. 1 </w:t>
      </w:r>
      <w:proofErr w:type="spellStart"/>
      <w:r w:rsidRPr="00F93CDC">
        <w:rPr>
          <w:rFonts w:asciiTheme="majorHAnsi" w:hAnsiTheme="majorHAnsi" w:cstheme="majorHAnsi"/>
          <w:sz w:val="20"/>
          <w:szCs w:val="20"/>
        </w:rPr>
        <w:t>kV</w:t>
      </w:r>
      <w:proofErr w:type="spellEnd"/>
      <w:r w:rsidRPr="00F93CDC">
        <w:rPr>
          <w:rFonts w:asciiTheme="majorHAnsi" w:hAnsiTheme="majorHAnsi" w:cstheme="majorHAnsi"/>
          <w:sz w:val="20"/>
          <w:szCs w:val="20"/>
        </w:rPr>
        <w:t xml:space="preserve"> i sieci elektrycznego oświetlenia ulicznego posiadającymi (każda z osobna) świadectwo kwalifikacyjne kat. SEP-E do 1 </w:t>
      </w:r>
      <w:proofErr w:type="spellStart"/>
      <w:r w:rsidRPr="00F93CDC">
        <w:rPr>
          <w:rFonts w:asciiTheme="majorHAnsi" w:hAnsiTheme="majorHAnsi" w:cstheme="majorHAnsi"/>
          <w:sz w:val="20"/>
          <w:szCs w:val="20"/>
        </w:rPr>
        <w:t>kV</w:t>
      </w:r>
      <w:proofErr w:type="spellEnd"/>
      <w:r w:rsidRPr="00F93CDC">
        <w:rPr>
          <w:rFonts w:asciiTheme="majorHAnsi" w:hAnsiTheme="majorHAnsi" w:cstheme="majorHAnsi"/>
          <w:sz w:val="20"/>
          <w:szCs w:val="20"/>
        </w:rPr>
        <w:t>,</w:t>
      </w:r>
    </w:p>
    <w:p w14:paraId="7EDF6E7A" w14:textId="28DC0931" w:rsidR="00077171" w:rsidRPr="00077171" w:rsidRDefault="00077171" w:rsidP="007E3449">
      <w:pPr>
        <w:spacing w:after="40"/>
        <w:ind w:left="127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77171">
        <w:rPr>
          <w:rFonts w:asciiTheme="majorHAnsi" w:hAnsiTheme="majorHAnsi" w:cstheme="majorHAnsi"/>
          <w:b/>
          <w:bCs/>
          <w:sz w:val="20"/>
          <w:szCs w:val="20"/>
        </w:rPr>
        <w:t xml:space="preserve">Uwaga! </w:t>
      </w:r>
    </w:p>
    <w:p w14:paraId="5C9E36E1" w14:textId="77777777" w:rsidR="00077171" w:rsidRPr="00077171" w:rsidRDefault="00077171" w:rsidP="007E3449">
      <w:pPr>
        <w:spacing w:after="40"/>
        <w:ind w:left="127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77171">
        <w:rPr>
          <w:rFonts w:asciiTheme="majorHAnsi" w:hAnsiTheme="majorHAnsi" w:cstheme="majorHAnsi"/>
          <w:b/>
          <w:bCs/>
          <w:sz w:val="20"/>
          <w:szCs w:val="20"/>
        </w:rPr>
        <w:t>Osoba posiadająca jednocześnie uprawnienia kat. SEP-D i SEP-E może potwierdzać oba warunki.</w:t>
      </w:r>
    </w:p>
    <w:p w14:paraId="3CAC399E" w14:textId="62C8B44B" w:rsidR="00077171" w:rsidRPr="00077171" w:rsidRDefault="00F93CDC" w:rsidP="007E3449">
      <w:pPr>
        <w:numPr>
          <w:ilvl w:val="0"/>
          <w:numId w:val="51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93CDC">
        <w:rPr>
          <w:rFonts w:asciiTheme="majorHAnsi" w:hAnsiTheme="majorHAnsi" w:cstheme="majorHAnsi"/>
          <w:sz w:val="20"/>
          <w:szCs w:val="20"/>
        </w:rPr>
        <w:t>minimum jedną osobą posiadającą uprawnienia do prac pod napięciem na urządzeniach elektroenergetycznych PPN (Prace Pod Napięciem),</w:t>
      </w:r>
      <w:r w:rsidR="00077171" w:rsidRPr="00077171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362B411C" w14:textId="3D70C33B" w:rsidR="00077171" w:rsidRDefault="00F93CDC" w:rsidP="007E3449">
      <w:pPr>
        <w:numPr>
          <w:ilvl w:val="0"/>
          <w:numId w:val="51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93CDC">
        <w:rPr>
          <w:rFonts w:asciiTheme="majorHAnsi" w:hAnsiTheme="majorHAnsi" w:cstheme="majorHAnsi"/>
          <w:sz w:val="20"/>
          <w:szCs w:val="20"/>
        </w:rPr>
        <w:t>minimum jedną osobą posiadającą uprawnienia dozoru nad pracami pod napięciem na urządzeniach elektroenergetycznych PPN (Prace Pod Napięciem)</w:t>
      </w:r>
      <w:r w:rsidR="00077171" w:rsidRPr="00077171">
        <w:rPr>
          <w:rFonts w:asciiTheme="majorHAnsi" w:hAnsiTheme="majorHAnsi" w:cstheme="majorHAnsi"/>
          <w:sz w:val="20"/>
          <w:szCs w:val="20"/>
        </w:rPr>
        <w:t>.</w:t>
      </w:r>
    </w:p>
    <w:p w14:paraId="25F80902" w14:textId="77777777" w:rsidR="007E3449" w:rsidRPr="007E3449" w:rsidRDefault="007E3449" w:rsidP="007E3449">
      <w:p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7E3449">
        <w:rPr>
          <w:rFonts w:asciiTheme="majorHAnsi" w:hAnsiTheme="majorHAnsi" w:cstheme="majorHAnsi"/>
          <w:sz w:val="20"/>
          <w:szCs w:val="20"/>
        </w:rPr>
        <w:t xml:space="preserve">Przez uprawnienia budowlane Zamawiający rozumie uprawnienia, o których mowa  w ustawie z 7 lipca 1994 r. Prawo budowlane  (tj. Dz. U. z 2020 r. poz. 1333) oraz w rozporządzeniu Ministra Inwestycji i Rozwoju z dnia 29 kwietnia 2019 r. w sprawie przygotowania zawodowego do wykonywania samodzielnych funkcji technicznych </w:t>
      </w:r>
      <w:r w:rsidRPr="007E3449">
        <w:rPr>
          <w:rFonts w:asciiTheme="majorHAnsi" w:hAnsiTheme="majorHAnsi" w:cstheme="majorHAnsi"/>
          <w:sz w:val="20"/>
          <w:szCs w:val="20"/>
        </w:rPr>
        <w:br/>
        <w:t xml:space="preserve">w budownictwie  (Dz. U. z 2019 r. poz. 831 ze zm.) lub odpowiadające im ważne uprawnienia budowlane wydane na </w:t>
      </w:r>
      <w:r w:rsidRPr="007E3449">
        <w:rPr>
          <w:rFonts w:asciiTheme="majorHAnsi" w:hAnsiTheme="majorHAnsi" w:cstheme="majorHAnsi"/>
          <w:sz w:val="20"/>
          <w:szCs w:val="20"/>
        </w:rPr>
        <w:lastRenderedPageBreak/>
        <w:t>podstawie uprzednio obowiązujących przepisów prawa, lub odpowiednich przepisów obowiązujących na terenie kraju, w którym Wykonawca ma siedzibę lub miejsce zamieszkania, uznanych przez właściwy organ, zgodnie z ustawą z  15 stycznia 2016 r. o zasadach uznawania kwalifikacji zawodowych nabytych w państwach członkowskich Unii Europejskiej (tj. Dz. U. z 2018 r. poz. 2272 ze zm.), lub zamierzający świadczyć usługi transgraniczne w rozumieniu przepisów tej ustawy oraz art. 20 a ustawy z 15 grudnia 2000 r. o samorządach zawodowych architektów, inżynierów budownictwa lub urbanistów (tj. Dz. U. z 2019 r. poz. 1117 ze zm.).</w:t>
      </w:r>
    </w:p>
    <w:p w14:paraId="346D996D" w14:textId="77777777" w:rsidR="00077171" w:rsidRPr="00077171" w:rsidRDefault="00077171" w:rsidP="00077171">
      <w:pPr>
        <w:keepNext/>
        <w:numPr>
          <w:ilvl w:val="0"/>
          <w:numId w:val="50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Wykonawca spełni warunek jeżeli wykaże, że dysponuje:</w:t>
      </w:r>
    </w:p>
    <w:p w14:paraId="6BA3C4A9" w14:textId="5E3334D9" w:rsidR="00077171" w:rsidRPr="00077171" w:rsidRDefault="00077171" w:rsidP="00077171">
      <w:pPr>
        <w:keepNext/>
        <w:numPr>
          <w:ilvl w:val="0"/>
          <w:numId w:val="52"/>
        </w:num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co najmniej dwoma podestami ruchomymi na podwoziu samochodowym o wysięgu do 1</w:t>
      </w:r>
      <w:r w:rsidR="00551C4F">
        <w:rPr>
          <w:rFonts w:asciiTheme="majorHAnsi" w:hAnsiTheme="majorHAnsi" w:cstheme="majorHAnsi"/>
          <w:sz w:val="20"/>
          <w:szCs w:val="20"/>
        </w:rPr>
        <w:t>1</w:t>
      </w:r>
      <w:r w:rsidRPr="00077171">
        <w:rPr>
          <w:rFonts w:asciiTheme="majorHAnsi" w:hAnsiTheme="majorHAnsi" w:cstheme="majorHAnsi"/>
          <w:sz w:val="20"/>
          <w:szCs w:val="20"/>
        </w:rPr>
        <w:t xml:space="preserve"> m,</w:t>
      </w:r>
    </w:p>
    <w:p w14:paraId="04BC6DFA" w14:textId="77777777" w:rsidR="00077171" w:rsidRPr="00077171" w:rsidRDefault="00077171" w:rsidP="00077171">
      <w:pPr>
        <w:keepNext/>
        <w:numPr>
          <w:ilvl w:val="0"/>
          <w:numId w:val="52"/>
        </w:num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077171">
        <w:rPr>
          <w:rFonts w:asciiTheme="majorHAnsi" w:hAnsiTheme="majorHAnsi" w:cstheme="majorHAnsi"/>
          <w:sz w:val="20"/>
          <w:szCs w:val="20"/>
        </w:rPr>
        <w:t>dysponował niezbędnymi do wykonania zamówienia narzędziami i urządzeniami w szczególności lokalizatorem uszkodzeń linii kablowych.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25EC09F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oryginałem przez notariusza) należy załączyć do oferty. </w:t>
      </w:r>
    </w:p>
    <w:p w14:paraId="63184AD6" w14:textId="6B47F27E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1"/>
    <w:p w14:paraId="42411AA9" w14:textId="64C2F2DE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zakresie nie uregulowanym SIWZ, zastosowanie mają przepisy rozporządzenia Ministra Rozwoju z dnia 26 lipca 2016 r.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1F2FDBB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6D5EEE" w:rsidRPr="006D5EEE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7E3449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46B03354" w14:textId="68A108B9" w:rsidR="00647330" w:rsidRDefault="002B75CA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E709B6">
        <w:rPr>
          <w:rFonts w:asciiTheme="majorHAnsi" w:hAnsiTheme="majorHAnsi" w:cstheme="majorHAnsi"/>
          <w:bCs/>
          <w:sz w:val="20"/>
          <w:szCs w:val="20"/>
        </w:rPr>
        <w:t>2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357BA">
        <w:rPr>
          <w:rFonts w:asciiTheme="majorHAnsi" w:hAnsiTheme="majorHAnsi" w:cstheme="majorHAnsi"/>
          <w:bCs/>
          <w:sz w:val="20"/>
          <w:szCs w:val="20"/>
        </w:rPr>
        <w:t>5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 PLN</w:t>
      </w:r>
      <w:r w:rsidR="006473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05CB5DC6" w14:textId="5D532B97" w:rsidR="002B58D9" w:rsidRPr="002B58D9" w:rsidRDefault="002B58D9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28976AA7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6D5EEE" w:rsidRPr="006D5EEE">
        <w:rPr>
          <w:rFonts w:asciiTheme="majorHAnsi" w:hAnsiTheme="majorHAnsi" w:cstheme="majorHAnsi"/>
          <w:bCs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lastRenderedPageBreak/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1155BF84" w14:textId="77777777" w:rsidTr="00DC1100">
        <w:tc>
          <w:tcPr>
            <w:tcW w:w="10490" w:type="dxa"/>
          </w:tcPr>
          <w:p w14:paraId="60C299AF" w14:textId="77777777" w:rsidR="00E709B6" w:rsidRPr="00E709B6" w:rsidRDefault="00E709B6" w:rsidP="00E709B6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0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„Konserwacja oświetlenia ulicznego na terenie miasta Zduńska Wola w 2021 r.”</w:t>
            </w:r>
          </w:p>
          <w:p w14:paraId="234B0D9B" w14:textId="248EA92A" w:rsidR="003D2F5F" w:rsidRPr="003D2F5F" w:rsidRDefault="00E709B6" w:rsidP="00E709B6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0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IT.271.81.2020.KP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A8AC873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</w:t>
      </w:r>
      <w:r w:rsidR="001016CF">
        <w:rPr>
          <w:rFonts w:asciiTheme="majorHAnsi" w:hAnsiTheme="majorHAnsi" w:cstheme="majorHAnsi"/>
          <w:bCs/>
          <w:sz w:val="20"/>
          <w:szCs w:val="20"/>
        </w:rPr>
        <w:t>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1016CF">
        <w:rPr>
          <w:rFonts w:asciiTheme="majorHAnsi" w:hAnsiTheme="majorHAnsi" w:cstheme="majorHAnsi"/>
          <w:bCs/>
          <w:sz w:val="20"/>
          <w:szCs w:val="20"/>
        </w:rPr>
        <w:t>1010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610AFA8D" w:rsidR="00D329E6" w:rsidRPr="00E65B89" w:rsidRDefault="00D44285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Ofertę należy złożyć w siedzibie Zamawiającego przy ul. Stefana Złotnickiego 12, 98-220 Zduńska Wola w Kancelarii poprzez przekazanie jej pracownikowi Urzędu Miasta Zduńska Wola, do dnia 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E709B6">
        <w:rPr>
          <w:rFonts w:asciiTheme="majorHAnsi" w:eastAsia="Arial Unicode MS" w:hAnsiTheme="majorHAnsi" w:cstheme="majorHAnsi"/>
          <w:b/>
          <w:bCs/>
          <w:sz w:val="20"/>
          <w:szCs w:val="20"/>
        </w:rPr>
        <w:t>7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.12.2020 r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>., do godziny 1</w:t>
      </w:r>
      <w:r w:rsidR="00E709B6">
        <w:rPr>
          <w:rFonts w:asciiTheme="majorHAnsi" w:eastAsia="Arial Unicode MS" w:hAnsiTheme="majorHAnsi" w:cstheme="majorHAnsi"/>
          <w:sz w:val="20"/>
          <w:szCs w:val="20"/>
        </w:rPr>
        <w:t>1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>:00 i zaadresować zgodnie z opisem przedstawionym w rozdziale X SIWZ. Godziny pracy Urzędu Miasta: w poniedziałki od godz. 7:30 do godz. 17:00 oraz od wtorku do piątku od godz. 7:30 do godz. 15:30.”</w:t>
      </w:r>
      <w:r w:rsidR="006777E1" w:rsidRPr="006777E1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2A3E33FF" w14:textId="77777777" w:rsidR="00D44285" w:rsidRDefault="0045589E" w:rsidP="00D44285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1F1079" w14:textId="543B6C16" w:rsidR="00D44285" w:rsidRDefault="00D44285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https://www.youtube.com/channel/UCki03FTM2Y9g9_pcCNNGJ_w, w dniu 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E709B6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12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.2020 r.</w:t>
      </w:r>
      <w:r w:rsidRPr="00D44285">
        <w:rPr>
          <w:rFonts w:asciiTheme="majorHAnsi" w:hAnsiTheme="majorHAnsi" w:cstheme="majorHAnsi"/>
          <w:sz w:val="20"/>
          <w:szCs w:val="20"/>
        </w:rPr>
        <w:t>, o godzinie 1</w:t>
      </w:r>
      <w:r w:rsidR="00E709B6">
        <w:rPr>
          <w:rFonts w:asciiTheme="majorHAnsi" w:hAnsiTheme="majorHAnsi" w:cstheme="majorHAnsi"/>
          <w:sz w:val="20"/>
          <w:szCs w:val="20"/>
        </w:rPr>
        <w:t>1</w:t>
      </w:r>
      <w:r w:rsidRPr="00D44285">
        <w:rPr>
          <w:rFonts w:asciiTheme="majorHAnsi" w:hAnsiTheme="majorHAnsi" w:cstheme="majorHAnsi"/>
          <w:sz w:val="20"/>
          <w:szCs w:val="20"/>
        </w:rPr>
        <w:t>:30.</w:t>
      </w:r>
    </w:p>
    <w:p w14:paraId="02BC7013" w14:textId="268E249B" w:rsidR="00552FBA" w:rsidRPr="00D44285" w:rsidRDefault="00552FBA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D4428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768DE05" w14:textId="77777777" w:rsidR="00E709B6" w:rsidRPr="000579F8" w:rsidRDefault="00E709B6" w:rsidP="00E709B6">
      <w:pPr>
        <w:numPr>
          <w:ilvl w:val="0"/>
          <w:numId w:val="9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t xml:space="preserve">Wykonawca określa cenę realizacji zamówienia poprzez wskazanie w Formularzu ofertowym sporządzonym wg Ceny jednostkowe określone przez Wykonawcę w formularzu ofertowym zostaną ustalone na okres ważności umowy i nie będą podlegały zmianom z wyjątkiem przypadków przewidzianych w umowie. </w:t>
      </w:r>
    </w:p>
    <w:p w14:paraId="4D1A29DA" w14:textId="77777777" w:rsidR="00E709B6" w:rsidRPr="000579F8" w:rsidRDefault="00E709B6" w:rsidP="00E709B6">
      <w:pPr>
        <w:numPr>
          <w:ilvl w:val="0"/>
          <w:numId w:val="9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t>Ceny jednostkowe w formularzu oferty muszą być podane w PLN cyfrowo, z dokładnością do dwóch miejsc po przecinku.</w:t>
      </w:r>
    </w:p>
    <w:p w14:paraId="7FC46755" w14:textId="77777777" w:rsidR="00E709B6" w:rsidRPr="000579F8" w:rsidRDefault="00E709B6" w:rsidP="00E709B6">
      <w:pPr>
        <w:numPr>
          <w:ilvl w:val="0"/>
          <w:numId w:val="9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t>Cena oferty brutto musi być podana w PLN cyfrowo i słownie, z dokładnością do dwóch miejsc po przecinku.</w:t>
      </w:r>
    </w:p>
    <w:p w14:paraId="2CBD3199" w14:textId="77777777" w:rsidR="00E709B6" w:rsidRPr="000579F8" w:rsidRDefault="00E709B6" w:rsidP="00E709B6">
      <w:pPr>
        <w:numPr>
          <w:ilvl w:val="0"/>
          <w:numId w:val="9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t>Cenę brutto oferty oblicza się zgodnie z kosztorysem ofertowym zamieszczonym w formularzu oferty – załącznik nr 1 do SIWZ. Cenę brutto oferty oblicza się jako sumę iloczynów cen jednostkowych brutto i przewidywanych  wielkości  zamówienia.</w:t>
      </w:r>
    </w:p>
    <w:p w14:paraId="71248F06" w14:textId="77777777" w:rsidR="00E709B6" w:rsidRDefault="00E709B6" w:rsidP="00E709B6">
      <w:pPr>
        <w:numPr>
          <w:ilvl w:val="0"/>
          <w:numId w:val="9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t>Szacowana wielkość zamówienia określona dla każdej z usług wymienionej w kosztorysie ofertowym, została podana jedynie w celu porównania ofert. Nie gwarantuje się Wykonawcy, że będzie wymagane od niego wykonanie wielkości wskazanych w kosztorysie ofertowym. Wynagrodzenie Wykonawcy będzie zależało od faktycznej wielkości wykonanych usług wyszczególnionych w kosztorysie ofertowym. Wykonawcy nie przysługuje roszczenie o wykonanie przedmiotu zamówienia w ilościach określonych w kosztorysie ofertowym.</w:t>
      </w:r>
    </w:p>
    <w:p w14:paraId="228FCE38" w14:textId="77777777" w:rsidR="00E709B6" w:rsidRPr="000579F8" w:rsidRDefault="00E709B6" w:rsidP="00E709B6">
      <w:pPr>
        <w:numPr>
          <w:ilvl w:val="0"/>
          <w:numId w:val="9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lastRenderedPageBreak/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 </w:t>
      </w:r>
    </w:p>
    <w:p w14:paraId="01E709B2" w14:textId="77777777" w:rsidR="00E709B6" w:rsidRDefault="00E709B6" w:rsidP="00E709B6">
      <w:pPr>
        <w:numPr>
          <w:ilvl w:val="0"/>
          <w:numId w:val="9"/>
        </w:numPr>
        <w:tabs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0579F8">
        <w:rPr>
          <w:rFonts w:asciiTheme="majorHAnsi" w:hAnsiTheme="majorHAnsi" w:cs="Segoe UI"/>
          <w:sz w:val="20"/>
          <w:szCs w:val="20"/>
        </w:rPr>
        <w:t>Cena winna obejmować wszystkie składniki, zobowiązania i koszty związane z wykonaniem zamówienia.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35AF6CC1" w:rsidR="00B15222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5EBFBCF" w14:textId="692809EA" w:rsidR="00F8274D" w:rsidRDefault="00F8274D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tbl>
      <w:tblPr>
        <w:tblW w:w="100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245"/>
        <w:gridCol w:w="1843"/>
      </w:tblGrid>
      <w:tr w:rsidR="00F8274D" w:rsidRPr="00F8274D" w14:paraId="3C789AE0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12BC2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D86D45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E4C7F5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D7DE50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Waga kryterium</w:t>
            </w:r>
          </w:p>
        </w:tc>
      </w:tr>
      <w:tr w:rsidR="00F8274D" w:rsidRPr="00F8274D" w14:paraId="6EB22F53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9DA47DB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6039D83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Cena oferty brutto (</w:t>
            </w:r>
            <w:proofErr w:type="spellStart"/>
            <w:r w:rsidRPr="00F8274D">
              <w:rPr>
                <w:rFonts w:asciiTheme="majorHAnsi" w:hAnsiTheme="majorHAnsi" w:cs="Arial"/>
                <w:sz w:val="18"/>
                <w:szCs w:val="18"/>
              </w:rPr>
              <w:t>Pc</w:t>
            </w:r>
            <w:proofErr w:type="spellEnd"/>
            <w:r w:rsidRPr="00F8274D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3BE754C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A69BC3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60,00%</w:t>
            </w:r>
          </w:p>
        </w:tc>
      </w:tr>
      <w:tr w:rsidR="00F8274D" w:rsidRPr="00F8274D" w14:paraId="64A92A5E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4CE78CA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FFCBE1E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Czas usunięcia usterek w przypadku zgłoszenia pojedynczych nieświecących punktów świetlnych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E164B7B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Czas usunięcia usterek w przypadku zgłoszenia pojedynczych nieświecących punktów świetlnych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5A8B92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20,00%</w:t>
            </w:r>
          </w:p>
        </w:tc>
      </w:tr>
      <w:tr w:rsidR="00F8274D" w:rsidRPr="00F8274D" w14:paraId="41C5ACAC" w14:textId="77777777" w:rsidTr="007E3449">
        <w:trPr>
          <w:cantSplit/>
          <w:trHeight w:val="624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CB392E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5D7C2B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Czas usunięcia awarii całych nieświecących linii oświetlenia</w:t>
            </w:r>
          </w:p>
        </w:tc>
        <w:tc>
          <w:tcPr>
            <w:tcW w:w="5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714B06" w14:textId="77777777" w:rsidR="00F8274D" w:rsidRPr="00F8274D" w:rsidRDefault="00F8274D" w:rsidP="00F8274D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Czas usunięcia awarii całych nieświecących linii oświetlenia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57F102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20,00%</w:t>
            </w:r>
          </w:p>
        </w:tc>
      </w:tr>
    </w:tbl>
    <w:p w14:paraId="40114E6B" w14:textId="6A74EDD5" w:rsidR="00F8274D" w:rsidRDefault="00F8274D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p w14:paraId="22D4F440" w14:textId="5EAAF5FE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DFA4765" w14:textId="77777777" w:rsid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</w:p>
    <w:p w14:paraId="577A3FE6" w14:textId="7416E91F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celu oceny ofert Zamawiający przyzna punkty wg następujących formuł:</w:t>
      </w:r>
    </w:p>
    <w:p w14:paraId="07F23CB7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 xml:space="preserve">W = </w:t>
      </w:r>
      <w:proofErr w:type="spellStart"/>
      <w:r w:rsidRPr="00F8274D">
        <w:rPr>
          <w:rFonts w:asciiTheme="majorHAnsi" w:hAnsiTheme="majorHAnsi"/>
          <w:sz w:val="20"/>
          <w:szCs w:val="20"/>
          <w:lang w:eastAsia="ar-SA"/>
        </w:rPr>
        <w:t>Pc</w:t>
      </w:r>
      <w:proofErr w:type="spellEnd"/>
      <w:r w:rsidRPr="00F8274D">
        <w:rPr>
          <w:rFonts w:asciiTheme="majorHAnsi" w:hAnsiTheme="majorHAnsi"/>
          <w:sz w:val="20"/>
          <w:szCs w:val="20"/>
          <w:lang w:eastAsia="ar-SA"/>
        </w:rPr>
        <w:t xml:space="preserve"> + P(Cu)+P(Ca)</w:t>
      </w:r>
    </w:p>
    <w:p w14:paraId="730FEA01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– całkowita liczba punktów przyznanych ocenianej ofercie,</w:t>
      </w:r>
    </w:p>
    <w:p w14:paraId="44912B0A" w14:textId="77777777" w:rsidR="00F8274D" w:rsidRPr="00F8274D" w:rsidRDefault="00F8274D" w:rsidP="00F8274D">
      <w:pPr>
        <w:tabs>
          <w:tab w:val="left" w:pos="851"/>
        </w:tabs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proofErr w:type="spellStart"/>
      <w:r w:rsidRPr="00F8274D">
        <w:rPr>
          <w:rFonts w:asciiTheme="majorHAnsi" w:hAnsiTheme="majorHAnsi"/>
          <w:sz w:val="20"/>
          <w:szCs w:val="20"/>
          <w:lang w:eastAsia="ar-SA"/>
        </w:rPr>
        <w:t>Pc</w:t>
      </w:r>
      <w:proofErr w:type="spellEnd"/>
      <w:r w:rsidRPr="00F8274D">
        <w:rPr>
          <w:rFonts w:asciiTheme="majorHAnsi" w:hAnsiTheme="majorHAnsi"/>
          <w:sz w:val="20"/>
          <w:szCs w:val="20"/>
          <w:lang w:eastAsia="ar-SA"/>
        </w:rPr>
        <w:t xml:space="preserve"> – obliczana wartość punktowa w kryterium Cena oferty brutto;</w:t>
      </w:r>
    </w:p>
    <w:p w14:paraId="102CF015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P(Cu) - liczba punktów uzyskanych w kryterium „czas usunięcia usterek w przypadku zgłoszenia pojedynczych nieświecących punktów świetlnych”</w:t>
      </w:r>
    </w:p>
    <w:p w14:paraId="27031A1D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P(Ca) - liczba punktów uzyskanych w kryterium „czas usunięcia awarii pojedynczych obwodów oświetleniowych”</w:t>
      </w:r>
    </w:p>
    <w:p w14:paraId="3D0DA520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4F848741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  <w:r w:rsidRPr="00F8274D">
        <w:rPr>
          <w:rFonts w:asciiTheme="majorHAnsi" w:hAnsiTheme="majorHAnsi"/>
          <w:b/>
          <w:sz w:val="20"/>
          <w:szCs w:val="20"/>
          <w:lang w:eastAsia="ar-SA"/>
        </w:rPr>
        <w:t>dla kryterium - Cena oferty brutto (</w:t>
      </w:r>
      <w:proofErr w:type="spellStart"/>
      <w:r w:rsidRPr="00F8274D">
        <w:rPr>
          <w:rFonts w:asciiTheme="majorHAnsi" w:hAnsiTheme="majorHAnsi"/>
          <w:b/>
          <w:sz w:val="20"/>
          <w:szCs w:val="20"/>
          <w:lang w:eastAsia="ar-SA"/>
        </w:rPr>
        <w:t>Pc</w:t>
      </w:r>
      <w:proofErr w:type="spellEnd"/>
      <w:r w:rsidRPr="00F8274D">
        <w:rPr>
          <w:rFonts w:asciiTheme="majorHAnsi" w:hAnsiTheme="majorHAnsi"/>
          <w:b/>
          <w:sz w:val="20"/>
          <w:szCs w:val="20"/>
          <w:lang w:eastAsia="ar-SA"/>
        </w:rPr>
        <w:t xml:space="preserve">): </w:t>
      </w:r>
    </w:p>
    <w:p w14:paraId="1A52EA95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E1F828F" w14:textId="77777777" w:rsidR="00F8274D" w:rsidRPr="0026257C" w:rsidRDefault="00F8274D" w:rsidP="00F8274D">
      <w:pPr>
        <w:suppressAutoHyphens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9E07042" w14:textId="77C86130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023F5252" w14:textId="2D21CB46" w:rsidR="00F8274D" w:rsidRPr="0026257C" w:rsidRDefault="00F8274D" w:rsidP="00F8274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26553C59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8337DB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3A02C3EC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1722F5DA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333E59C1" w14:textId="0274411A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26257C">
        <w:rPr>
          <w:rFonts w:asciiTheme="majorHAnsi" w:hAnsiTheme="majorHAnsi" w:cstheme="majorHAnsi"/>
          <w:sz w:val="20"/>
          <w:szCs w:val="20"/>
        </w:rPr>
        <w:t>– najwyższa oferowana całkowita cena brutto</w:t>
      </w:r>
    </w:p>
    <w:p w14:paraId="7A06055F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14:paraId="5408F98F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1CBBE607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F511EEE" w14:textId="77777777" w:rsidR="00F8274D" w:rsidRPr="00F8274D" w:rsidRDefault="00F8274D" w:rsidP="007E3449">
      <w:pPr>
        <w:suppressAutoHyphens/>
        <w:autoSpaceDN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8274D">
        <w:rPr>
          <w:rFonts w:asciiTheme="majorHAnsi" w:hAnsiTheme="majorHAnsi"/>
          <w:b/>
          <w:sz w:val="20"/>
          <w:szCs w:val="20"/>
          <w:lang w:eastAsia="ar-SA"/>
        </w:rPr>
        <w:t>Ocena kryterium „czas usunięcia usterek w przypadku zgłoszenia pojedynczych nieświecących punktów świetlnych” – przeprowadzona zostanie na podstawie podanego przez Wykonawcę w ofercie czasu usunięcia usterek od momentu przyjęcia zgłoszenia przez Wykonawcę lub wykrycia usterek do czasu ich usunięcia.</w:t>
      </w:r>
    </w:p>
    <w:p w14:paraId="361C540C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77D1240D" w14:textId="77777777" w:rsidR="00F8274D" w:rsidRPr="00F8274D" w:rsidRDefault="00F8274D" w:rsidP="007E3449">
      <w:pPr>
        <w:suppressAutoHyphens/>
        <w:autoSpaceDN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8274D">
        <w:rPr>
          <w:rFonts w:asciiTheme="majorHAnsi" w:hAnsiTheme="majorHAnsi"/>
          <w:b/>
          <w:sz w:val="20"/>
          <w:szCs w:val="20"/>
          <w:lang w:eastAsia="ar-SA"/>
        </w:rPr>
        <w:t>P(Cu) – liczba punktów za kryterium „czas usunięcia usterek w przypadku zgłoszenia pojedynczych nieświecących punktów świetlnych”</w:t>
      </w:r>
    </w:p>
    <w:p w14:paraId="2D6102CE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7DB56AE1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Ocena przeprowadzona zostanie wg poniższego zestawienia:</w:t>
      </w:r>
    </w:p>
    <w:p w14:paraId="33D235F8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 xml:space="preserve">Wykonawca, który przedstawi w swojej ofercie czas usunięcia usterek: </w:t>
      </w:r>
    </w:p>
    <w:p w14:paraId="226D4B3B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lastRenderedPageBreak/>
        <w:t>•</w:t>
      </w:r>
      <w:r w:rsidRPr="00F8274D">
        <w:rPr>
          <w:rFonts w:asciiTheme="majorHAnsi" w:hAnsiTheme="majorHAnsi"/>
          <w:sz w:val="20"/>
          <w:szCs w:val="20"/>
          <w:lang w:eastAsia="ar-SA"/>
        </w:rPr>
        <w:tab/>
        <w:t>do 48 godzin   –  otrzyma 20 punktów  P(Cu)</w:t>
      </w:r>
    </w:p>
    <w:p w14:paraId="55EBCBA2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•</w:t>
      </w:r>
      <w:r w:rsidRPr="00F8274D">
        <w:rPr>
          <w:rFonts w:asciiTheme="majorHAnsi" w:hAnsiTheme="majorHAnsi"/>
          <w:sz w:val="20"/>
          <w:szCs w:val="20"/>
          <w:lang w:eastAsia="ar-SA"/>
        </w:rPr>
        <w:tab/>
        <w:t>powyżej 48 godzin do 72 godzin   –  otrzyma 5 punktów  P(Cu)</w:t>
      </w:r>
    </w:p>
    <w:p w14:paraId="51EFDE57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•</w:t>
      </w:r>
      <w:r w:rsidRPr="00F8274D">
        <w:rPr>
          <w:rFonts w:asciiTheme="majorHAnsi" w:hAnsiTheme="majorHAnsi"/>
          <w:sz w:val="20"/>
          <w:szCs w:val="20"/>
          <w:lang w:eastAsia="ar-SA"/>
        </w:rPr>
        <w:tab/>
        <w:t>powyżej 72 godzin do 96 godzin   –  otrzyma 0 punktów  P(Cu)</w:t>
      </w:r>
    </w:p>
    <w:p w14:paraId="7A319D4C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tym kryterium można uzyskać maksymalnie 20 punktów.</w:t>
      </w:r>
    </w:p>
    <w:p w14:paraId="5C6C69D0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Uwaga!</w:t>
      </w:r>
    </w:p>
    <w:p w14:paraId="46243E7B" w14:textId="2F93AD94" w:rsidR="00F8274D" w:rsidRPr="00F8274D" w:rsidRDefault="00F8274D" w:rsidP="00F8274D">
      <w:pPr>
        <w:suppressAutoHyphens/>
        <w:autoSpaceDN w:val="0"/>
        <w:spacing w:line="276" w:lineRule="auto"/>
        <w:jc w:val="both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 xml:space="preserve">Wykonawca nie może zaoferować czasu usunięcia usterek powyżej 96 godzin. </w:t>
      </w:r>
      <w:bookmarkStart w:id="2" w:name="_Hlk530993957"/>
      <w:r w:rsidRPr="00F8274D">
        <w:rPr>
          <w:rFonts w:asciiTheme="majorHAnsi" w:hAnsiTheme="majorHAnsi"/>
          <w:sz w:val="20"/>
          <w:szCs w:val="20"/>
          <w:lang w:eastAsia="ar-SA"/>
        </w:rPr>
        <w:t>W takim wypadku oferta zostanie odrzucona. W</w:t>
      </w:r>
      <w:r w:rsidR="007E3449">
        <w:rPr>
          <w:rFonts w:asciiTheme="majorHAnsi" w:hAnsiTheme="majorHAnsi"/>
          <w:sz w:val="20"/>
          <w:szCs w:val="20"/>
          <w:lang w:eastAsia="ar-SA"/>
        </w:rPr>
        <w:t> </w:t>
      </w:r>
      <w:r w:rsidRPr="00F8274D">
        <w:rPr>
          <w:rFonts w:asciiTheme="majorHAnsi" w:hAnsiTheme="majorHAnsi"/>
          <w:sz w:val="20"/>
          <w:szCs w:val="20"/>
          <w:lang w:eastAsia="ar-SA"/>
        </w:rPr>
        <w:t>przypadku gdy Wykonawca w złożonej ofercie nie poda czasu usunięcia usterek Zamawiający do oceny przyjmie 96 godzin i</w:t>
      </w:r>
      <w:r w:rsidR="007E3449">
        <w:rPr>
          <w:rFonts w:asciiTheme="majorHAnsi" w:hAnsiTheme="majorHAnsi"/>
          <w:sz w:val="20"/>
          <w:szCs w:val="20"/>
          <w:lang w:eastAsia="ar-SA"/>
        </w:rPr>
        <w:t> </w:t>
      </w:r>
      <w:r w:rsidRPr="00F8274D">
        <w:rPr>
          <w:rFonts w:asciiTheme="majorHAnsi" w:hAnsiTheme="majorHAnsi"/>
          <w:sz w:val="20"/>
          <w:szCs w:val="20"/>
          <w:lang w:eastAsia="ar-SA"/>
        </w:rPr>
        <w:t>przyzna liczbę punktów - 0.</w:t>
      </w:r>
    </w:p>
    <w:bookmarkEnd w:id="2"/>
    <w:p w14:paraId="777DE06D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3317BD72" w14:textId="77777777" w:rsidR="00F8274D" w:rsidRPr="00F8274D" w:rsidRDefault="00F8274D" w:rsidP="007E3449">
      <w:pPr>
        <w:suppressAutoHyphens/>
        <w:autoSpaceDN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8274D">
        <w:rPr>
          <w:rFonts w:asciiTheme="majorHAnsi" w:hAnsiTheme="majorHAnsi"/>
          <w:b/>
          <w:sz w:val="20"/>
          <w:szCs w:val="20"/>
          <w:lang w:eastAsia="ar-SA"/>
        </w:rPr>
        <w:t>Ocena kryterium „czas usunięcia awarii pojedynczych obwodów oświetleniowych” przeprowadzona zostanie na podstawie podanego przez Wykonawcę w ofercie czasu usunięcia awarii od momentu przyjęcia zgłoszenia przez Wykonawcę lub wykrycia awarii do czasu jej usunięcia.</w:t>
      </w:r>
    </w:p>
    <w:p w14:paraId="30CB7E08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09AEB48E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  <w:r w:rsidRPr="00F8274D">
        <w:rPr>
          <w:rFonts w:asciiTheme="majorHAnsi" w:hAnsiTheme="majorHAnsi"/>
          <w:b/>
          <w:sz w:val="20"/>
          <w:szCs w:val="20"/>
          <w:lang w:eastAsia="ar-SA"/>
        </w:rPr>
        <w:t>P(Ca) – liczba punktów za kryterium „czas usunięcia awarii pojedynczych obwodów oświetleniowych”</w:t>
      </w:r>
    </w:p>
    <w:p w14:paraId="0E514F2E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Ocena przeprowadzona zostanie wg poniższego zestawienia:</w:t>
      </w:r>
    </w:p>
    <w:p w14:paraId="605755E6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 xml:space="preserve">Wykonawca, który przedstawi w swojej ofercie czas usunięcia awarii: </w:t>
      </w:r>
    </w:p>
    <w:p w14:paraId="11874F9E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•</w:t>
      </w:r>
      <w:r w:rsidRPr="00F8274D">
        <w:rPr>
          <w:rFonts w:asciiTheme="majorHAnsi" w:hAnsiTheme="majorHAnsi"/>
          <w:sz w:val="20"/>
          <w:szCs w:val="20"/>
          <w:lang w:eastAsia="ar-SA"/>
        </w:rPr>
        <w:tab/>
        <w:t>do 24 godzin   –  otrzyma 20 punktów  P(Ca)</w:t>
      </w:r>
    </w:p>
    <w:p w14:paraId="0F062BEE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•</w:t>
      </w:r>
      <w:r w:rsidRPr="00F8274D">
        <w:rPr>
          <w:rFonts w:asciiTheme="majorHAnsi" w:hAnsiTheme="majorHAnsi"/>
          <w:sz w:val="20"/>
          <w:szCs w:val="20"/>
          <w:lang w:eastAsia="ar-SA"/>
        </w:rPr>
        <w:tab/>
        <w:t>powyżej 24 godzin do 48 godzin   –  otrzyma 0 punktów  P(Ca)</w:t>
      </w:r>
    </w:p>
    <w:p w14:paraId="7AD00088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tym kryterium można uzyskać maksymalnie 20 punktów.</w:t>
      </w:r>
    </w:p>
    <w:p w14:paraId="18B14EA8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Uwaga!</w:t>
      </w:r>
    </w:p>
    <w:p w14:paraId="65233036" w14:textId="7492D429" w:rsidR="00F8274D" w:rsidRPr="00F8274D" w:rsidRDefault="00F8274D" w:rsidP="00F8274D">
      <w:pPr>
        <w:suppressAutoHyphens/>
        <w:autoSpaceDN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Wykonawca nie może zaoferować czasu usunięcia awarii powyżej 48 godzin. W takim wypadku oferta zostanie odrzucona. W</w:t>
      </w:r>
      <w:r w:rsidR="007E3449">
        <w:rPr>
          <w:rFonts w:asciiTheme="majorHAnsi" w:hAnsiTheme="majorHAnsi"/>
          <w:sz w:val="20"/>
          <w:szCs w:val="20"/>
          <w:lang w:eastAsia="ar-SA"/>
        </w:rPr>
        <w:t> </w:t>
      </w:r>
      <w:r w:rsidRPr="00F8274D">
        <w:rPr>
          <w:rFonts w:asciiTheme="majorHAnsi" w:hAnsiTheme="majorHAnsi"/>
          <w:sz w:val="20"/>
          <w:szCs w:val="20"/>
          <w:lang w:eastAsia="ar-SA"/>
        </w:rPr>
        <w:t>przypadku gdy Wykonawca w złożonej ofercie nie poda czasu usunięcia awarii Zamawiający do oceny przyjmie 48 godzin i</w:t>
      </w:r>
      <w:r w:rsidR="007E3449">
        <w:rPr>
          <w:rFonts w:asciiTheme="majorHAnsi" w:hAnsiTheme="majorHAnsi"/>
          <w:sz w:val="20"/>
          <w:szCs w:val="20"/>
          <w:lang w:eastAsia="ar-SA"/>
        </w:rPr>
        <w:t> </w:t>
      </w:r>
      <w:r w:rsidRPr="00F8274D">
        <w:rPr>
          <w:rFonts w:asciiTheme="majorHAnsi" w:hAnsiTheme="majorHAnsi"/>
          <w:sz w:val="20"/>
          <w:szCs w:val="20"/>
          <w:lang w:eastAsia="ar-SA"/>
        </w:rPr>
        <w:t>przyzna liczbę punktów - 0.</w:t>
      </w:r>
    </w:p>
    <w:p w14:paraId="11FD75C4" w14:textId="77777777" w:rsidR="00F8274D" w:rsidRPr="00F8274D" w:rsidRDefault="00F8274D" w:rsidP="00F8274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="Arial Narrow"/>
          <w:sz w:val="20"/>
          <w:szCs w:val="20"/>
        </w:rPr>
        <w:tab/>
      </w:r>
    </w:p>
    <w:p w14:paraId="439B9421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428E8B1B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717B71D5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F8274D">
        <w:rPr>
          <w:rFonts w:asciiTheme="majorHAnsi" w:hAnsiTheme="majorHAnsi" w:cstheme="majorHAnsi"/>
          <w:b/>
          <w:bCs/>
          <w:sz w:val="20"/>
          <w:szCs w:val="20"/>
        </w:rPr>
        <w:t>nie przewiduje</w:t>
      </w:r>
      <w:r w:rsidRPr="00F8274D">
        <w:rPr>
          <w:rFonts w:asciiTheme="majorHAnsi" w:hAnsiTheme="majorHAnsi" w:cstheme="majorHAnsi"/>
          <w:sz w:val="20"/>
          <w:szCs w:val="20"/>
        </w:rPr>
        <w:t xml:space="preserve"> 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3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3"/>
    </w:p>
    <w:p w14:paraId="48F63C23" w14:textId="5171864B" w:rsidR="004A5991" w:rsidRDefault="004A5991" w:rsidP="004A5991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="00EA5C8D" w:rsidRPr="00EA5C8D">
        <w:rPr>
          <w:rFonts w:asciiTheme="majorHAnsi" w:hAnsiTheme="majorHAnsi" w:cstheme="majorHAnsi"/>
          <w:sz w:val="20"/>
          <w:szCs w:val="20"/>
        </w:rPr>
        <w:t>zabezpieczenia należytego wykonania umowy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56160BE6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B3C9A6F" w:rsidR="006629DC" w:rsidRPr="00DB061E" w:rsidRDefault="006629DC" w:rsidP="00DB061E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>RODO w celu związanym z postępowaniem o udzielenie zamówienia publicznego pn</w:t>
      </w:r>
      <w:r w:rsidR="00454A8D">
        <w:rPr>
          <w:rFonts w:asciiTheme="majorHAnsi" w:hAnsiTheme="majorHAnsi" w:cstheme="majorHAnsi"/>
          <w:sz w:val="20"/>
          <w:szCs w:val="20"/>
        </w:rPr>
        <w:t xml:space="preserve">. </w:t>
      </w:r>
      <w:r w:rsidR="00DB061E" w:rsidRPr="00DB061E">
        <w:rPr>
          <w:rFonts w:asciiTheme="majorHAnsi" w:hAnsiTheme="majorHAnsi" w:cstheme="majorHAnsi"/>
          <w:b/>
          <w:bCs/>
          <w:sz w:val="20"/>
          <w:szCs w:val="20"/>
        </w:rPr>
        <w:t>„Konserwacja oświetlenia ulicznego na terenie miasta Zduńska Wola w 2021 r.”</w:t>
      </w:r>
      <w:r w:rsidR="00DB061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B061E" w:rsidRPr="00DB061E">
        <w:rPr>
          <w:rFonts w:asciiTheme="majorHAnsi" w:hAnsiTheme="majorHAnsi" w:cstheme="majorHAnsi"/>
          <w:b/>
          <w:bCs/>
          <w:sz w:val="20"/>
          <w:szCs w:val="20"/>
        </w:rPr>
        <w:t>nr sprawy: IT.271.81.2020.KP</w:t>
      </w:r>
      <w:r w:rsidR="00DD16D5" w:rsidRPr="00DB061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B061E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DB061E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1E361384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26D34D8C" w:rsidR="00B42A67" w:rsidRPr="00647330" w:rsidRDefault="00552FBA" w:rsidP="00647330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352C948" w14:textId="6A008554" w:rsidR="00647330" w:rsidRDefault="006473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388E532E" w14:textId="77777777" w:rsidR="00DB061E" w:rsidRPr="00DB061E" w:rsidRDefault="00DB061E" w:rsidP="00DB061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B061E">
              <w:rPr>
                <w:rFonts w:ascii="Calibri" w:hAnsi="Calibri" w:cs="Segoe UI"/>
                <w:b/>
                <w:color w:val="000000"/>
              </w:rPr>
              <w:t>„Konserwacja oświetlenia ulicznego na terenie miasta Zduńska Wola w 2021 r.”</w:t>
            </w:r>
          </w:p>
          <w:p w14:paraId="4D38A430" w14:textId="4719E4A7" w:rsidR="00647330" w:rsidRPr="00127EE1" w:rsidRDefault="00DB061E" w:rsidP="00DB061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B061E">
              <w:rPr>
                <w:rFonts w:ascii="Calibri" w:hAnsi="Calibri" w:cs="Segoe UI"/>
                <w:b/>
                <w:color w:val="000000"/>
              </w:rPr>
              <w:t>nr sprawy: IT.271.81.2020.KP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077171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077171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A71D97E" w14:textId="77777777" w:rsidR="00DB061E" w:rsidRPr="00DB061E" w:rsidRDefault="00DB061E" w:rsidP="00DB061E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B061E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„Konserwacja oświetlenia ulicznego na terenie miasta Zduńska Wola w 2021 r.”</w:t>
            </w:r>
          </w:p>
          <w:p w14:paraId="1058874F" w14:textId="77777777" w:rsidR="00DB061E" w:rsidRDefault="00DB061E" w:rsidP="00DB061E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B061E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IT.271.81.2020.KP</w:t>
            </w:r>
          </w:p>
          <w:p w14:paraId="4E4AE60B" w14:textId="35D3906D" w:rsidR="00647330" w:rsidRPr="000D549B" w:rsidRDefault="00647330" w:rsidP="00DB061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077171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6C378AEF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718F308C" w14:textId="4EAEF1E7" w:rsidR="004E3C31" w:rsidRDefault="004E3C31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</w:p>
                <w:tbl>
                  <w:tblPr>
                    <w:tblW w:w="1052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4"/>
                    <w:gridCol w:w="5304"/>
                    <w:gridCol w:w="1134"/>
                    <w:gridCol w:w="1134"/>
                    <w:gridCol w:w="419"/>
                    <w:gridCol w:w="574"/>
                    <w:gridCol w:w="1269"/>
                    <w:gridCol w:w="148"/>
                  </w:tblGrid>
                  <w:tr w:rsidR="00DB061E" w:rsidRPr="0087075A" w14:paraId="57D137B9" w14:textId="77777777" w:rsidTr="007E3449">
                    <w:trPr>
                      <w:trHeight w:val="1305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F85077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33A93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Opis pozycji kosztorysowej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EE8CFA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Nazwa jednostki obmiarowej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A31414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Ilość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br/>
                          <w:t>jednostek obmiarowych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464B7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cena jedn. obmiarowa brutto [zł]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CAB694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Razem cena </w:t>
                        </w:r>
                      </w:p>
                      <w:p w14:paraId="32CB202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(kol. 4x5)</w:t>
                        </w:r>
                      </w:p>
                      <w:p w14:paraId="359CB4CF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(w zł brutto)</w:t>
                        </w:r>
                      </w:p>
                    </w:tc>
                  </w:tr>
                  <w:tr w:rsidR="00DB061E" w:rsidRPr="0087075A" w14:paraId="7DD8140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539BD6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8E1C3C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DE0C2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860737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CFC64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5C6CA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B061E" w:rsidRPr="0087075A" w14:paraId="53C8A7C1" w14:textId="77777777" w:rsidTr="007E3449">
                    <w:trPr>
                      <w:trHeight w:val="398"/>
                    </w:trPr>
                    <w:tc>
                      <w:tcPr>
                        <w:tcW w:w="1052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85A99C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Konserwacja oświetlenia ulicznego za okres 12 miesięcy</w:t>
                        </w:r>
                      </w:p>
                    </w:tc>
                  </w:tr>
                  <w:tr w:rsidR="0087075A" w:rsidRPr="0087075A" w14:paraId="1FDAFDB2" w14:textId="77777777" w:rsidTr="007E3449">
                    <w:trPr>
                      <w:trHeight w:val="39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D8680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1C01B4" w14:textId="6573D3C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"Wymiana źródeł światła opraw sodowych 250 - 400 W. Obejmuje również: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D7A2777" w14:textId="629D239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248C83D" w14:textId="6060533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3694F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E9D0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D194F09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35B9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1CF2F0" w14:textId="278F59B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- utylizację zużytej lampy, czyszczenie klosza i odbłyśnika oprawy"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FA0C78A" w14:textId="4234325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613D79E" w14:textId="6A36533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43A41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FBAC9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D519C38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F9E3D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A755BA" w14:textId="4170DF8D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"Wymiana źródeł światła opraw sodowych 150 W. Obejmuje również: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5907C23" w14:textId="172644C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2F73410" w14:textId="0FEBDAA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95327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BEB5C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CE5F126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E2D7E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817E4D" w14:textId="0125BE5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/ montaż kompletnych opraw drogowych typu LED w zakresie mocy poniżej 40 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5D73174" w14:textId="5BC6332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B91150C" w14:textId="3D9374C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E1220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E3815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E6004F3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61131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268D2E" w14:textId="20042C2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/ montaż kompletnych opraw drogowych typu LED w zakresie mocy powyżej 50 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9031B84" w14:textId="2E73583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7436FE4" w14:textId="6DC3EA4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286EF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3604B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64C4B4A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4AAACA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AE5C5C" w14:textId="5B1DD8F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/ Montaż kompletnych drogowych opraw sodowych 70 - 150W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19F928" w14:textId="68BFC79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6D785529" w14:textId="65F338D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3C67F9B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7BE4743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075A" w:rsidRPr="0087075A" w14:paraId="61968837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F1049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48E85F" w14:textId="36517B4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oprawy wraz z demontażem starej, na słupie linii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lub kablowej na istniejącym wysięgniku (oprawa Zamawiającego)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C07591A" w14:textId="082974E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0F23D6B" w14:textId="1A06D20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B1F3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8753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D01ADF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484C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96246D" w14:textId="6EF25EB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oprawy Zamawiającego na słupie linii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wraz z nowym wysięgnikiem 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(tzw. Dowieszenie)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4003F8B" w14:textId="0E40AF5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8927815" w14:textId="046610B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15AD7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DC23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973C7E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7B0C8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9D9627" w14:textId="3DEBCE2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Demontaż oprawy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B962597" w14:textId="688875D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A2D0060" w14:textId="3F67D45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7439B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D70F5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72CBD9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C9DB2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E8BA48" w14:textId="7E749A3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Malowanie latarni stalowych do wysokości 8m jednokrotnie (farba do powierzchni metalowych w kolorze wybranym przez Zamawiającego),  zabezpieczenie farbą podstawy  wraz z materiałem. Farba zapewniająca ochronę przed korozją na poziomie 6-8 lat.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E3F63EE" w14:textId="2598475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0E95A09" w14:textId="37E5CBD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2FC41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818DE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636C6B7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71A7E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421B16" w14:textId="5A4E5899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stateczników w oprawach oświetleniowych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415E540" w14:textId="0F13342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7087BF3" w14:textId="2628D63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87FFD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6F41A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78487E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72178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FE311E" w14:textId="0AA9CD36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układów zapłonowych opraw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7AF5565" w14:textId="7F2D136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C6BC329" w14:textId="55BB941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2AA99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B94B2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251BD5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5DC0D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BBECD9" w14:textId="4D67E65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oprawek do lamp sodowych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179F428" w14:textId="253FC12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E988CA0" w14:textId="30E9605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57DE1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F118C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1B1533E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D90A5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6FA399" w14:textId="25FC8D9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Mycie kloszy opraw parkowych i ulicznych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6E3EA30" w14:textId="5BA002C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09C29D4" w14:textId="15BFA0E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FD5D3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ECFCF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E6B39B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D33E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07F716" w14:textId="64D1C37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słupa oświetleniowego ocynkowanego w zieleńcu bądź chodniku o wysokości do 9m wraz z fundamentem prefabrykowanym  (wraz z wyposażeniem wnęki, podłączeniem kabli, wysięgnikiem do kompletu,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, demontażem starej latarni, transportem)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D9EFF07" w14:textId="6B78EAC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7AA8915" w14:textId="62BDC1E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59C6C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2C1D4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5604602" w14:textId="77777777" w:rsidTr="007E3449">
                    <w:trPr>
                      <w:trHeight w:val="78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91883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24111B" w14:textId="03BD2844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słupa oświetleniowego ocynkowanego w zieleńcu bądź chodniku o wysokości do 11 m wraz z fundamentem prefabrykowanym  (wraz z wyposażeniem wnęki, podłączeniem kabli, wysięgnikiem do kompletu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, demontażem starej latarni, transportem)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6B11232" w14:textId="2C78E7C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213FCC1" w14:textId="5835BB0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D443D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3C67A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8850F70" w14:textId="77777777" w:rsidTr="007E3449">
                    <w:trPr>
                      <w:trHeight w:val="70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6A8F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063988" w14:textId="0ABE6C5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słupa oświetleniowego w zieleńcu bądź chodniku o wysokości do 9 m wraz z fundamentem prefabrykowanym  wraz z wyposażeniem wnęki, podłączeniem kabli,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, założeniem wysięgnika, demontażem starej latarni posadowionej w gruncie (słup zamawiającego)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1D9E17D" w14:textId="3C1E4A3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EAC2C09" w14:textId="040EED0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2234E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536CE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11B55D3" w14:textId="77777777" w:rsidTr="007E3449">
                    <w:trPr>
                      <w:trHeight w:val="612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AE26C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11CFF8" w14:textId="464EB22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Zmiana miejsca posadowienia słupa oświetlenia ulicznego (max 10m) wraz z przedłużeniem kabli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6441BA" w14:textId="4B5E839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23A2DDF" w14:textId="74E094E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FEB1C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F7238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4C83461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B860B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</w:tcPr>
                      <w:p w14:paraId="5C61FC07" w14:textId="1894BD11" w:rsidR="0087075A" w:rsidRPr="0087075A" w:rsidRDefault="0087075A" w:rsidP="0087075A">
                        <w:pPr>
                          <w:jc w:val="both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Naprawa i podpięcie wyrwanych przewodów we wnękach słupowych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0E8C4F" w14:textId="70513A7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7297E86" w14:textId="17AC25B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E7D3F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BC6DA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269B43F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8E3F5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21A044" w14:textId="1D25E40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/ montaż wysięgnika zwykłego jednoramiennego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0DFD4A" w14:textId="5BFC10C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BBAB647" w14:textId="391A732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EFBD0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346DE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9F4B1A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34D9F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9A7C9E" w14:textId="51A8E85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istniejących wysięgników jednoramiennych na dwuramienne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ABB9D4" w14:textId="2D3E233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604BA60" w14:textId="7CBC532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6EF63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E7F02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4B4B516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512BF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106EB6" w14:textId="5CB8273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izolacyjnych złączy słupowych (zabudowa złączy typu IZK)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73F6CA" w14:textId="70C6CB4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CCF5F79" w14:textId="611C161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8E98B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85BD1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831807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93E5A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DD4D1F" w14:textId="1FC46B0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przewodów w słupach YKY 3 x 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3E46CDE" w14:textId="112D37D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D312283" w14:textId="6B89030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05FFB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2EE5C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613111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1972F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5D9BD2" w14:textId="4D4AB86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na słupie oświetleniowym gniazda 230V IP55 wraz z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zabezpieczeniem C10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F2F9271" w14:textId="0D158C6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F11DA03" w14:textId="5D8A666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E55A5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C8813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D46D6E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83C34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E824F0" w14:textId="5EA9BDF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osłon wnęk słupowych wraz z opaską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DDDB500" w14:textId="70F2001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5D75821C" w14:textId="70EDF50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0D667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205AC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5780503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AEA71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4D1B76" w14:textId="30E8AD8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Pionowanie słupów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D234C3E" w14:textId="1318BE9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E30C037" w14:textId="4A6626A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4AC1B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F66B1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90BC5F7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6516E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2BD14A" w14:textId="6954F75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Poprawa ustawienia wysięgników i opraw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108E104" w14:textId="6227933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CAD4E31" w14:textId="6411A19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9D6B5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AE12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628D39F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B6952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850643" w14:textId="343257B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Lokalizacja miejsca uszkodzenia kabla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04DECF0" w14:textId="35C5EA8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887A0A8" w14:textId="3A347BA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2B356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ACB1A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76DD47F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4B673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C2499F" w14:textId="0A5AD52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Naprawa kabli oświetleniowych (wraz z odkopaniem,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mufowaniem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przedłużeniem kabla)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28F208B" w14:textId="4C6E40F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7E04EC9" w14:textId="53C93EF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3B4A2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9807B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6CFF7E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7DE92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653410" w14:textId="59B0075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linii kablowej oświetleniowej YAKY 4x35 lub 5x45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D8B0F91" w14:textId="12A6421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5AE131FF" w14:textId="1270DEE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47FB7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862F4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9E36769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67301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ACB8E6" w14:textId="46BF1DC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linii kablowej YKY 4x25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53E2187" w14:textId="79EDFBF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5B9906F1" w14:textId="48447D1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C2FA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AD0D4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B4F438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03025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7D52E4" w14:textId="2CE5A28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Odtworzenie nawierzchni chodnika z płyt, kostki betonowej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CE1D0C4" w14:textId="1C10AB5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6E12C42B" w14:textId="0680470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FCA51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55A2B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44A2C7C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DD989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337B79" w14:textId="0097C81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przewodu napowietrznego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ASXSn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2x35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C14A7CD" w14:textId="2C2CC41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F762AF5" w14:textId="0230D52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AB76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3B697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A52098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996F9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5B6FFD" w14:textId="4E67E4F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zacisków prądowej linii napowietrznej izolowanej lub nieizolowanej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FE41F4B" w14:textId="57C4FA6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5D9146AD" w14:textId="10CEFF5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51512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A3647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E12A46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43D01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92D29A" w14:textId="7217D7A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Naprawa zerwanego przewodu napowietrznej linii nieizolowanej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7A64C64" w14:textId="23C1305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01CD6822" w14:textId="7025AD4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207E9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A6824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2B9B80C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1F8DA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8A31C9" w14:textId="17B8BDF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przewodu Al linii napowietrznej  o przekroju 16 -50 mm2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1A4B7FF" w14:textId="2FFC4BA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07339286" w14:textId="70764BD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88CCD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27036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FA07CC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D6582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FFFDE6" w14:textId="6A44FA0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szafy oświetleniowej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DBC2975" w14:textId="7E9B18B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8F6397" w14:textId="6A9C51C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EC7BE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5979B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9F009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DF1FA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CCE2934" w14:textId="733879BD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Wykonanie uziomu szpilkowego Fe/Zn F 20 mm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C0F7A25" w14:textId="75FB5D6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8CDB781" w14:textId="09F9A94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05B67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4DA1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E56DA63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E76E9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A8A4B61" w14:textId="58A3456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gniazd bezpiecznikowych do 63 A w SO (koszt uśredniony)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67AAEBE" w14:textId="1F4F1AB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B8E7515" w14:textId="49DF601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2E7A1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0EF84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489199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04DCB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93F64D" w14:textId="65682DA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wkładek bezpiecznikowych 6 - 32A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5CCD34" w14:textId="4243E49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54390693" w14:textId="2BF7425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E289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27237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8F7660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A7DC5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BD0D0A" w14:textId="68AB2F96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wkładek bezpiecznikowych do 63A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3A9EFDB" w14:textId="70804D5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19637961" w14:textId="47B85D2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34496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F0624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B8CA94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112C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DB5EB4" w14:textId="0A4D6CE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wyłączników nadprądowych 6 - 63A (charakterystyka C lub D)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9CCF5DC" w14:textId="3AF2355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0700C3EE" w14:textId="06DB0D7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692E1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1B18A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3804183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4641D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588822" w14:textId="4E2BE8B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wyłączników nadprądowych selektywnych typu Cs 16 - 63A 1f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76B4E94" w14:textId="042A2D4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AB24F85" w14:textId="098CA63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A16D4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EAB72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5F8734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5DEDD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7B4F17" w14:textId="058B821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zabezpieczenia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przedlicznikowego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 na wyłączniki instalacyjne (3x1f) o charakterystyce CS w obudowie przystosowanej do plombowania.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95FF59" w14:textId="4A9D069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6671B293" w14:textId="73D19BB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DCA8E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48E7F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D43CE5C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6A741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F5146F" w14:textId="540B268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stycznika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AC3 80 A w szafie oświetleniowej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A1DE45A" w14:textId="30755BB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77CE3E9D" w14:textId="4B4EBDF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44F8C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08F24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38F4195" w14:textId="77777777" w:rsidTr="007E3449">
                    <w:trPr>
                      <w:trHeight w:val="48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50725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lastRenderedPageBreak/>
                          <w:t>46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405CE9" w14:textId="46FDA96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zegara sterującego astronomicznego (zegar typu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astroclock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A392B89" w14:textId="654CD14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E481F41" w14:textId="5439531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E3DD7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B360A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5967D7C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D3A7F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DFFA29" w14:textId="0C59191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Regulacja  zegarów sterujących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68CD6BA" w14:textId="76DC5B8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141683A0" w14:textId="36362C0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C453E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D2FF3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68CD543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58CBF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95E5B2" w14:textId="5124F33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Naprawa usterek aparatury elektrycznej szafy oświetleniowej (koszt uśredniony)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799E07E" w14:textId="5D1D20D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3545FAF2" w14:textId="574477C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B8E01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79CBD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2AB5EC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DE37F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16DE24" w14:textId="46255AC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Naprawa elementów mechanicznych szafy oświetleniowej (wymiana zacisków, przełączników, wyłączników krańcowych, przewodów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itp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….)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B55073C" w14:textId="1F28839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780361E2" w14:textId="32826B3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CF1A2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2C32F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6FAD26A" w14:textId="77777777" w:rsidTr="007E3449">
                    <w:trPr>
                      <w:trHeight w:val="23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5F011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B95CD9" w14:textId="22174E3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Wykonanie stalowych drzwi szafy oświetleniowej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82B989E" w14:textId="499DCD4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3B8AD08C" w14:textId="5057625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6F5B1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0709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A578B3A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66F12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3DDA9B" w14:textId="7320855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Poprawa i czyszczenie styków w oprawach, złączach słupowych, podstawach bezpiecznikowych, aparaturze łączeniowej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EF82EB2" w14:textId="0A0525F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22439F5" w14:textId="4363684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D036E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D83AE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1B4BC8A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85007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6FD19C" w14:textId="4B04A94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główki bezpiecznikowej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4C93B97" w14:textId="1929785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46FFFB9A" w14:textId="4D1F040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64246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D64F8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5AF0AD6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B1C83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5A7D6F" w14:textId="0CDDD4B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Naprawa połączeń w bezpiecznikach napowietrznych (BNU/BNO)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28ADF9F" w14:textId="2BDB781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14B19781" w14:textId="39E9FEF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0DE0F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7B566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DCB32AE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3F5D8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4D1B3" w14:textId="3537445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podstaw bezpieczników napowietrznych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F1D93F2" w14:textId="6603FBA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CC1958A" w14:textId="60E7510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294E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66CCC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3679EE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641A1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4AFA19" w14:textId="7BFC0844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podstaw bezpiecznikowych PBD1 , PBG00 itp.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69349A" w14:textId="6A96A61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013AF2B" w14:textId="377D771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33D97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98F3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FA32D71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48A63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1C7333" w14:textId="484F598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bezpieczników BM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7C5DB9" w14:textId="1DF323C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F242ECB" w14:textId="66DBC41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23D82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27D85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EF61CF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13057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C68A84" w14:textId="33FB9C2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Zmiana lokalizacji szafy oświetleniowej do 10m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1BCB854" w14:textId="6E8A9B8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FF84835" w14:textId="073B62A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F6DCF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88B78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AC8A725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C24F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673F70" w14:textId="0EF2206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Wyniesienie istniejącego układu pomiarowo-rozdzielczego do nowej szafki (linia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kablowa)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AF988D3" w14:textId="2EFB81B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202D807" w14:textId="729D20D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26421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C1182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9219E88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136D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62C960" w14:textId="18D3F57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Malowanie wysięgników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9D442D6" w14:textId="29AD1FA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5F14F936" w14:textId="2E2F274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A974F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FA0F1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178857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CB6B4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E01CAC" w14:textId="632940E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Wykonanie przeglądu technicznego nowych obiektów oświetleniowych przed przyjęciem do eksploatacji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FB8D910" w14:textId="4D726AF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16C07D8" w14:textId="0A65405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75927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8053B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B2E0580" w14:textId="77777777" w:rsidTr="007E3449">
                    <w:trPr>
                      <w:trHeight w:val="28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D63FA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55DA64" w14:textId="06CCD69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Opracowanie kosztorysu powykonawczego za naprawę uszkodzonej infrastruktury oświetleniowej (szkody komunikacyjne, dewastacje, kradzieże)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EA8029F" w14:textId="3B84EAF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E7974DE" w14:textId="2A69E77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8519B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38CD6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8CB413E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95C1D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3918E3" w14:textId="633E2E0D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Cięcie techniczne konarów drzew (przy liniach napowietrznych i latarniach) wraz z utylizacją gałęzi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C7C8B83" w14:textId="7ED415E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przęsło/latarnia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10112A2" w14:textId="4193E29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3495D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65FDE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CD9B8F0" w14:textId="77777777" w:rsidTr="007E3449">
                    <w:trPr>
                      <w:trHeight w:val="40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92C0B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F6FF9E" w14:textId="488F949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Pomiary elektryczne izolacja, ochrona, uziemienia wraz z opracowaniem i dostarczeniem protokołów z pomiarów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EB94EE0" w14:textId="6831F9C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/słup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613D898" w14:textId="5B3B393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69044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D6E9F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E037596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98A8B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8DDABB" w14:textId="4366B17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Pomiary elektryczne izolacja, ochrona, uziemienia wraz z opracowaniem i dostarczeniem protokołów z pomiarów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B0D3F1B" w14:textId="5CD82FF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/szafa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63ABC5D" w14:textId="7DA96BB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58EF3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DCCF2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5DF073A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C2EFB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72C21A" w14:textId="76B580F6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Doraźna likwidacja zagrożenia od infrastruktury oświetleniowej powstałego na skutek dewastacji, kolizji drogowych i innych zdarzeń losowych do czasu likwidacji szkody, wraz ze sporządzeniem dokumentacji fotograficznej i przekazaniem jej Zamawiającemu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78D46FF" w14:textId="653B727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1E97FAD" w14:textId="663EFBD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D3DDE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F58AE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A1B88F9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251C3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B7D274" w14:textId="183A6E5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kontrola stanu załączenia się i sprawności oświetlenia miasta oraz dokumentowanie, archiwizowanie i przedstawienie Zamawiającemu wykonywanych oględzin w formie protokołu. ilość odnosi się do przeglądu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jedego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z trzech Rejonów: Rejon północny, południowy, 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karsznice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 Ulica Łaska stanowi granicę podziału.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11184A1" w14:textId="6FE31AC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szt.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81A022F" w14:textId="1B86B03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D29BE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44DD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365F437" w14:textId="77777777" w:rsidTr="0087075A">
                    <w:trPr>
                      <w:trHeight w:val="526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629E1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568AFA" w14:textId="008B1E6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Załączenie i wyłączenie zasilania oświetlenia celem nagłośnienia imprez plenerowych /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uroczytości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(w tym w dniach świątecznych)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21E7761" w14:textId="2335069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5D6A712" w14:textId="0EAB530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D4277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FBF15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0996268" w14:textId="77777777" w:rsidTr="0087075A">
                    <w:trPr>
                      <w:trHeight w:val="27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56AD9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D4E1189" w14:textId="545ED2C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pracownik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7037788" w14:textId="047D898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r-g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B0D702D" w14:textId="3EF3EDA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954B0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6C663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8F6E2E" w14:textId="77777777" w:rsidTr="0087075A">
                    <w:trPr>
                      <w:trHeight w:val="26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610C3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11F85E9" w14:textId="6ABD747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podnośnik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160F7E4" w14:textId="703ED66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m-g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0129ACE" w14:textId="0C95BD5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C9946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4FC6E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15DD8B1" w14:textId="77777777" w:rsidTr="007E3449">
                    <w:trPr>
                      <w:trHeight w:val="106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82ACC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02A6458" w14:textId="679A3BA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samochód ciężarowy do 10 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558641A" w14:textId="3117AFE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m-g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B051502" w14:textId="46D16A2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03C63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D819A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1D1AA08D" w14:textId="77777777" w:rsidTr="007E3449">
                    <w:trPr>
                      <w:trHeight w:val="546"/>
                    </w:trPr>
                    <w:tc>
                      <w:tcPr>
                        <w:tcW w:w="1052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B1E13D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Dekoracja świąteczna</w:t>
                        </w:r>
                      </w:p>
                    </w:tc>
                  </w:tr>
                  <w:tr w:rsidR="00DB061E" w:rsidRPr="0087075A" w14:paraId="7C39128C" w14:textId="77777777" w:rsidTr="007E3449">
                    <w:trPr>
                      <w:trHeight w:val="120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8E0E53" w14:textId="108D9E91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C85C78" w14:textId="748CB33D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zawieszki na stelażu aluminiowym mocowanej do słupa. Słupy do 8m, wyposażone w gniazda zasilające. Do montażu potrzebna będzie taśma mocująca lub spinki plastikowe. Zawieszki montowane po kilka/kilkanaście sztuk na danej ulicy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904B06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B0071" w14:textId="6891EB9B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6CD208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C254B9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13DBC3D2" w14:textId="77777777" w:rsidTr="007E3449">
                    <w:trPr>
                      <w:trHeight w:val="10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8980CB" w14:textId="0024A056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1EB002" w14:textId="02336255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choinek na stelażu aluminiowym o wysokości 5 m.  w miejscach wskazanych przez Zamawiającego z podłączeniem do zasilania (choinka składa się z 5 elementów).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530269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904D23" w14:textId="03BAFEF1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EC0D2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C0ADE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682F25E1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F4078F" w14:textId="489C0B5E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D2E299" w14:textId="1DD64F63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iluminacji w kształcie bombek o średnicy 3 m i dekoracji 3d o wym. 2,7x4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4BE5EB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C03625" w14:textId="240DEA11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EA181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ABCEF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61BB4F88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CD0E43" w14:textId="5FDED0B5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A92544" w14:textId="4590F061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Udekorowanie choinek światełkami w Al.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Rajczaka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na Placu Zwycięstwa (choinki żywe. Dwie tuje w Al.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Rajczaka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1 szt. Plac Zwycięstwa w Karsznicach. Montaż i demontaż wraz z zasilaniem)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75E2C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szt.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B487D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CD06E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8D6DD5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4C61CB12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E6F55C" w14:textId="60DAB2F4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5FCC45" w14:textId="6E70E993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iluminacji – Ozdoba 3d kartka świąteczna 3m x 4,3m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2C6AF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0FDE18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C8153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E19D71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1529491C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EB85544" w14:textId="22CBC5E4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0AC08D6" w14:textId="5D7C91D0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 projektora świetlnego w wskazanym miejscu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DBF29A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0AF6D743" w14:textId="0FF303EF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ACEC99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16FD7975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2BB7FC0A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BE67536" w14:textId="32CBB819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32B81BF" w14:textId="569E52C3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Udekorownaie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mostka i altany  w parku miejskim, sznurami świetlnymi (montaż 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demontaz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wraz z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podłączenim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zasilania)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71D29DE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4DC0D4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F74A25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1E43AFF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71E75E23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C4CD657" w14:textId="606CB16D" w:rsidR="00DB061E" w:rsidRPr="0087075A" w:rsidRDefault="0087075A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lastRenderedPageBreak/>
                          <w:t>78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C795C2" w14:textId="4120911E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zawieszki na stelażu aluminiowym mocowanej do słupa na rondzie. Zawieszka 3d, wys. Ok. 3 m.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5C8F84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59E8F27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8A99332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7C80BD34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608292FB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89549E5" w14:textId="4E453462" w:rsidR="00DB061E" w:rsidRPr="0087075A" w:rsidRDefault="0087075A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F856473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Udekorowanie żywej choinki sznurami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led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bombkami wraz z podłączeniem zasilania.</w:t>
                        </w:r>
                      </w:p>
                      <w:p w14:paraId="52409AC0" w14:textId="0B6B49A0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Choinka o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wysokosci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ok. 7m. Demontaż urządzeń po stronie Wykonawcy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37D994F" w14:textId="6EB9F51A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546F3235" w14:textId="2DF43B4B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E5F22C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3888506F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4865284F" w14:textId="77777777" w:rsidTr="007E3449">
                    <w:trPr>
                      <w:trHeight w:val="383"/>
                    </w:trPr>
                    <w:tc>
                      <w:tcPr>
                        <w:tcW w:w="91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13546F" w14:textId="134ABCB1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 xml:space="preserve">ŁĄCZNA CENA OFERTOWA BRUTTO za 12 miesięcy- (suma poz. od 1 do </w:t>
                        </w:r>
                        <w:r w:rsid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79</w:t>
                        </w: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AF993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7DB77A93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315"/>
                    </w:trPr>
                    <w:tc>
                      <w:tcPr>
                        <w:tcW w:w="10378" w:type="dxa"/>
                        <w:gridSpan w:val="7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6BC84978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Ponadto oświadczam(y) że:</w:t>
                        </w:r>
                      </w:p>
                    </w:tc>
                  </w:tr>
                  <w:tr w:rsidR="00DB061E" w:rsidRPr="0087075A" w14:paraId="4DCAFEA1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684"/>
                    </w:trPr>
                    <w:tc>
                      <w:tcPr>
                        <w:tcW w:w="8535" w:type="dxa"/>
                        <w:gridSpan w:val="5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02E64E85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Czas usunięcia usterek w przypadku zgłoszenia pojedynczych nieświecących punktów świetlnych (proszę wpisać liczbę godzin do 96)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14:paraId="585EF432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62B7E339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684"/>
                    </w:trPr>
                    <w:tc>
                      <w:tcPr>
                        <w:tcW w:w="8535" w:type="dxa"/>
                        <w:gridSpan w:val="5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7F973682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Czas usunięcia awarii całych nieświecących linii oświetlenia (proszę wpisać liczbę godzin do 48)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14:paraId="67131921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5730420A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684"/>
                    </w:trPr>
                    <w:tc>
                      <w:tcPr>
                        <w:tcW w:w="10378" w:type="dxa"/>
                        <w:gridSpan w:val="7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394F28D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 xml:space="preserve">Uwaga: </w:t>
                        </w:r>
                      </w:p>
                      <w:p w14:paraId="4429D3D4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1. W ramach wyszczególnionych w ww. kosztorysie prac należy wykonać również:</w:t>
                        </w:r>
                      </w:p>
                      <w:p w14:paraId="13B0463B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- wszelkie prace pomocnicze, tymczasowe i towarzyszące, które są konieczne do prawidłowego wykonania przez Wykonawcę usług ujętych w kosztorysie ofertowym, w tym prace pomocnicze, tymczasowe i towarzyszące wynikające ze specyfikacji technicznej;</w:t>
                        </w:r>
                      </w:p>
                      <w:p w14:paraId="6C831395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- wszelkie inne prace, czynności, badania (laboratoryjne), obowiązki i wymogi wynikające ze specyfikacji istotnych warunków zamówienia (umowy, specyfikacji technicznej, kosztorysu ofertowego).</w:t>
                        </w:r>
                      </w:p>
                      <w:p w14:paraId="7B932646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2. W przypadku składania oferty przez Wykonawców występujących wspólnie, kosztorys ofertowy  winien być podpisany przez pełnomocnika.</w:t>
                        </w:r>
                      </w:p>
                    </w:tc>
                  </w:tr>
                </w:tbl>
                <w:p w14:paraId="0F9146D2" w14:textId="7BD995D9" w:rsidR="00647330" w:rsidRPr="00886E41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77777777" w:rsidR="00647330" w:rsidRPr="009F4795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1FE1841" w14:textId="77777777" w:rsidR="00647330" w:rsidRPr="00642B7A" w:rsidRDefault="00647330" w:rsidP="00077171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077171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3E5BA805" w14:textId="77777777" w:rsidR="00647330" w:rsidRPr="00A54958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D498E9F" w14:textId="77777777" w:rsidR="00647330" w:rsidRPr="00A54958" w:rsidRDefault="00647330" w:rsidP="00647330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69F15C8D" w14:textId="77777777" w:rsidR="00647330" w:rsidRPr="009F4795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077171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077171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077171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77777777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7330" w:rsidRPr="004C33E9" w14:paraId="565AD747" w14:textId="77777777" w:rsidTr="00647330">
        <w:tc>
          <w:tcPr>
            <w:tcW w:w="9214" w:type="dxa"/>
            <w:shd w:val="clear" w:color="auto" w:fill="D9D9D9"/>
            <w:vAlign w:val="center"/>
          </w:tcPr>
          <w:p w14:paraId="7A602AE7" w14:textId="77777777" w:rsidR="00647330" w:rsidRPr="004C33E9" w:rsidRDefault="00647330" w:rsidP="0064733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4C33E9" w14:paraId="385478FD" w14:textId="77777777" w:rsidTr="0064733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601A644" w14:textId="77777777" w:rsidR="00647330" w:rsidRPr="004C33E9" w:rsidRDefault="00647330" w:rsidP="0064733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1BB2462C" w14:textId="77777777" w:rsidR="00647330" w:rsidRPr="004C33E9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13ACBAB" w14:textId="77777777" w:rsidR="00647330" w:rsidRPr="00A058AD" w:rsidRDefault="00647330" w:rsidP="006473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7A4361C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1BCCBF5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E92C2D" w14:textId="77777777" w:rsidR="00647330" w:rsidRPr="003D272A" w:rsidRDefault="00647330" w:rsidP="006473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50A0B4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31D182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3F6A4D" w14:textId="77777777" w:rsidR="00647330" w:rsidRPr="00EA74CD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3DDF267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4A91882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61E0AD2" w14:textId="77777777" w:rsidR="00647330" w:rsidRPr="00BF1F3F" w:rsidRDefault="00647330" w:rsidP="006473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1DABA" w14:textId="77777777" w:rsidR="00647330" w:rsidRPr="001448FB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80F381" w14:textId="78401559" w:rsidR="00647330" w:rsidRPr="008F7EA0" w:rsidRDefault="00647330" w:rsidP="00F6164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4A8D">
        <w:rPr>
          <w:rFonts w:ascii="Arial" w:hAnsi="Arial" w:cs="Arial"/>
          <w:sz w:val="21"/>
          <w:szCs w:val="21"/>
        </w:rPr>
        <w:t>.:</w:t>
      </w:r>
      <w:r>
        <w:rPr>
          <w:rFonts w:ascii="Arial" w:hAnsi="Arial" w:cs="Arial"/>
          <w:sz w:val="21"/>
          <w:szCs w:val="21"/>
        </w:rPr>
        <w:t xml:space="preserve"> </w:t>
      </w:r>
      <w:r w:rsidR="00F61648" w:rsidRPr="00F61648">
        <w:rPr>
          <w:rFonts w:ascii="Arial" w:hAnsi="Arial" w:cs="Arial"/>
          <w:sz w:val="21"/>
          <w:szCs w:val="21"/>
        </w:rPr>
        <w:t>„Konserwacja oświetlenia ulicznego na terenie miasta Zduńska Wola w 2021 r.”</w:t>
      </w:r>
      <w:r w:rsidR="00F61648">
        <w:rPr>
          <w:rFonts w:ascii="Arial" w:hAnsi="Arial" w:cs="Arial"/>
          <w:sz w:val="21"/>
          <w:szCs w:val="21"/>
        </w:rPr>
        <w:t xml:space="preserve"> </w:t>
      </w:r>
      <w:r w:rsidR="00F61648" w:rsidRPr="00F61648">
        <w:rPr>
          <w:rFonts w:ascii="Arial" w:hAnsi="Arial" w:cs="Arial"/>
          <w:sz w:val="21"/>
          <w:szCs w:val="21"/>
        </w:rPr>
        <w:t>nr sprawy: IT.271.81.2020.KP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D0A5EDA" w14:textId="77777777" w:rsidR="00647330" w:rsidRPr="00CC6896" w:rsidRDefault="00647330" w:rsidP="00647330">
      <w:pPr>
        <w:spacing w:line="360" w:lineRule="auto"/>
        <w:jc w:val="both"/>
        <w:rPr>
          <w:rFonts w:ascii="Arial" w:hAnsi="Arial" w:cs="Arial"/>
        </w:rPr>
      </w:pPr>
    </w:p>
    <w:p w14:paraId="51E59382" w14:textId="77777777" w:rsidR="00647330" w:rsidRPr="001448FB" w:rsidRDefault="00647330" w:rsidP="0064733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F58B28C" w14:textId="77777777" w:rsidR="00647330" w:rsidRDefault="00647330" w:rsidP="0064733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C69A46" w14:textId="204A9379" w:rsidR="00647330" w:rsidRPr="00E62A16" w:rsidRDefault="00647330" w:rsidP="0064733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36193B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0460E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C419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BDABD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5C528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1978A8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53698CD" w14:textId="77777777" w:rsidR="00647330" w:rsidRPr="00307A36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A90CD28" w14:textId="77777777" w:rsidR="00647330" w:rsidRPr="000613E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01B6BD3" w14:textId="77777777" w:rsidR="00647330" w:rsidRPr="00A56074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042D8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5396D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B06B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AFD6AF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CBBAE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CF47F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9240E" w14:textId="77777777" w:rsidR="00647330" w:rsidRPr="000F2452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8E595" w14:textId="68085DD9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4054652" w14:textId="79676E42" w:rsidR="004E3C31" w:rsidRDefault="004E3C31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DDC35" w14:textId="77777777" w:rsidR="004E3C31" w:rsidRDefault="004E3C31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4C5D52" w14:textId="77777777" w:rsidR="00647330" w:rsidRPr="003C58F8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FA4E49C" w14:textId="77777777" w:rsidR="00647330" w:rsidRPr="009375EB" w:rsidRDefault="00647330" w:rsidP="00647330">
      <w:pPr>
        <w:spacing w:line="360" w:lineRule="auto"/>
        <w:jc w:val="both"/>
        <w:rPr>
          <w:rFonts w:ascii="Arial" w:hAnsi="Arial" w:cs="Arial"/>
          <w:b/>
        </w:rPr>
      </w:pPr>
    </w:p>
    <w:p w14:paraId="23E31C00" w14:textId="77777777" w:rsidR="00647330" w:rsidRPr="00B80D0E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B5F20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13FCE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DAAA8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CD9B45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CA7ACF" w14:textId="77777777" w:rsidR="00647330" w:rsidRPr="005A73F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641BF" w14:textId="77777777" w:rsidR="00647330" w:rsidRPr="00642B7A" w:rsidRDefault="00647330" w:rsidP="006473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5BA52177" w14:textId="77777777" w:rsidR="00647330" w:rsidRPr="00262D61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01AD57" w14:textId="77777777" w:rsidR="00647330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063DE04" w14:textId="77777777" w:rsidR="00647330" w:rsidRPr="00A22DCF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248F927" w14:textId="77777777" w:rsidR="00647330" w:rsidRPr="00A22DCF" w:rsidRDefault="00647330" w:rsidP="0064733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48AFB67" w14:textId="636C58F8" w:rsidR="00647330" w:rsidRDefault="00647330" w:rsidP="00F6164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61648" w:rsidRPr="00F61648">
        <w:rPr>
          <w:rFonts w:ascii="Arial" w:hAnsi="Arial" w:cs="Arial"/>
          <w:sz w:val="21"/>
          <w:szCs w:val="21"/>
        </w:rPr>
        <w:t>„Konserwacja oświetlenia ulicznego na terenie miasta Zduńska Wola w 2021 r.”</w:t>
      </w:r>
      <w:r w:rsidR="00F61648">
        <w:rPr>
          <w:rFonts w:ascii="Arial" w:hAnsi="Arial" w:cs="Arial"/>
          <w:sz w:val="21"/>
          <w:szCs w:val="21"/>
        </w:rPr>
        <w:t xml:space="preserve"> </w:t>
      </w:r>
      <w:r w:rsidR="00F61648" w:rsidRPr="00F61648">
        <w:rPr>
          <w:rFonts w:ascii="Arial" w:hAnsi="Arial" w:cs="Arial"/>
          <w:sz w:val="21"/>
          <w:szCs w:val="21"/>
        </w:rPr>
        <w:t>nr sprawy: IT.271.81.2020.KP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2DB6309" w14:textId="77777777" w:rsidR="00647330" w:rsidRPr="00A22DCF" w:rsidRDefault="00647330" w:rsidP="0064733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731A48" w14:textId="77777777" w:rsidR="00647330" w:rsidRPr="00E31C06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BC409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A11F6D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23F59C9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44EE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3400C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0EE5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7703BC" w14:textId="77777777" w:rsidR="00647330" w:rsidRPr="00025C8D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D72A79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785425E" w14:textId="77777777" w:rsidR="00647330" w:rsidRPr="00B15FD3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4FE4E4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A0CE96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61ECF5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3CC27C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1DEC27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8F99AA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AF4765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52CD26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951462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3BA475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20E07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00568" w14:textId="77777777" w:rsidR="00647330" w:rsidRPr="001D3A19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DEC27E4" w14:textId="77777777" w:rsidR="00647330" w:rsidRPr="00A22DCF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C3501C" w14:textId="77777777" w:rsidR="00647330" w:rsidRPr="00A22DCF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C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453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3F69BD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C84D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1D4C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8DA2D4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C5723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7B56D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17FD06" w14:textId="08B221A1" w:rsidR="004E3C31" w:rsidRDefault="00647330" w:rsidP="00647330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34C0D5E9" w14:textId="77777777" w:rsidR="004E3C31" w:rsidRDefault="004E3C31">
      <w:pPr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br w:type="page"/>
      </w:r>
    </w:p>
    <w:p w14:paraId="50F59CB7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lastRenderedPageBreak/>
        <w:t>Zamawiający</w:t>
      </w:r>
    </w:p>
    <w:p w14:paraId="7989FB88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D83958E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C0D39E1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72700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B4005EC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2FF89E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5617CA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7F6B496" w14:textId="77777777" w:rsidR="004E3C31" w:rsidRPr="00B42A67" w:rsidRDefault="004E3C31" w:rsidP="004E3C31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7A9A47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607D5E6D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49C5D3B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DB16DE9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AD2567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24AFBE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26ACFEF0" w14:textId="31F16CFF" w:rsidR="00454A8D" w:rsidRDefault="004E3C31" w:rsidP="00F6164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F61648" w:rsidRPr="00F61648">
        <w:rPr>
          <w:rFonts w:ascii="Arial" w:hAnsi="Arial" w:cs="Arial"/>
          <w:sz w:val="20"/>
          <w:szCs w:val="20"/>
        </w:rPr>
        <w:t>„Konserwacja oświetlenia ulicznego na terenie miasta Zduńska Wola w 2021 r.”</w:t>
      </w:r>
      <w:r w:rsidR="00F61648">
        <w:rPr>
          <w:rFonts w:ascii="Arial" w:hAnsi="Arial" w:cs="Arial"/>
          <w:sz w:val="20"/>
          <w:szCs w:val="20"/>
        </w:rPr>
        <w:t xml:space="preserve"> </w:t>
      </w:r>
      <w:r w:rsidR="00F61648" w:rsidRPr="00F61648">
        <w:rPr>
          <w:rFonts w:ascii="Arial" w:hAnsi="Arial" w:cs="Arial"/>
          <w:sz w:val="20"/>
          <w:szCs w:val="20"/>
        </w:rPr>
        <w:t>nr sprawy: IT.271.81.2020.KP</w:t>
      </w:r>
      <w:r w:rsidR="00454A8D">
        <w:rPr>
          <w:rFonts w:ascii="Arial" w:hAnsi="Arial" w:cs="Arial"/>
          <w:sz w:val="20"/>
          <w:szCs w:val="20"/>
        </w:rPr>
        <w:t>.</w:t>
      </w:r>
    </w:p>
    <w:p w14:paraId="1C807BF7" w14:textId="1EAB24BC" w:rsidR="004E3C31" w:rsidRPr="00B42A67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0820704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E3C31" w:rsidRPr="00B42A67" w14:paraId="1D37CE6A" w14:textId="77777777" w:rsidTr="00017A86">
        <w:tc>
          <w:tcPr>
            <w:tcW w:w="543" w:type="dxa"/>
          </w:tcPr>
          <w:p w14:paraId="5F7EFF98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205AD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42499DCE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E3C31" w:rsidRPr="00B42A67" w14:paraId="14B5182B" w14:textId="77777777" w:rsidTr="00017A86">
        <w:tc>
          <w:tcPr>
            <w:tcW w:w="543" w:type="dxa"/>
          </w:tcPr>
          <w:p w14:paraId="00F6858A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C6DA81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5D76E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0A72861B" w14:textId="77777777" w:rsidTr="00017A86">
        <w:tc>
          <w:tcPr>
            <w:tcW w:w="543" w:type="dxa"/>
          </w:tcPr>
          <w:p w14:paraId="026CF8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9840A8D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959499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2AD4DAAC" w14:textId="77777777" w:rsidTr="00017A86">
        <w:tc>
          <w:tcPr>
            <w:tcW w:w="543" w:type="dxa"/>
          </w:tcPr>
          <w:p w14:paraId="668F691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6BF626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7301651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C9A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1EA51AD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F02FBBA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07FD7B3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382D2A7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7CD84EC5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152D06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110F9F9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3528C09" w14:textId="77777777" w:rsidR="004E3C31" w:rsidRPr="00B42A67" w:rsidRDefault="004E3C31" w:rsidP="00077171">
      <w:pPr>
        <w:widowControl w:val="0"/>
        <w:numPr>
          <w:ilvl w:val="0"/>
          <w:numId w:val="48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40D33985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526DB9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F4813D8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B2E23CD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4207A9E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5D0CBEB6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CFD389D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971B97A" w14:textId="77777777" w:rsidR="004E3C31" w:rsidRPr="001C11C2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AE53A04" w14:textId="77777777" w:rsidR="004E3C31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16EF63E1" w14:textId="77777777" w:rsidR="004E3C31" w:rsidRPr="00B42A67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107CDDE" w14:textId="792F8B67" w:rsidR="00647330" w:rsidRPr="0018757C" w:rsidRDefault="004E3C31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647330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7727" w14:textId="77777777" w:rsidR="007E3449" w:rsidRDefault="007E3449">
      <w:r>
        <w:separator/>
      </w:r>
    </w:p>
  </w:endnote>
  <w:endnote w:type="continuationSeparator" w:id="0">
    <w:p w14:paraId="0D45567F" w14:textId="77777777" w:rsidR="007E3449" w:rsidRDefault="007E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7E3449" w:rsidRPr="004F6956" w:rsidRDefault="007E344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4EFE686B" w:rsidR="007E3449" w:rsidRDefault="007E3449" w:rsidP="002A532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8B906" wp14:editId="11523711">
          <wp:simplePos x="0" y="0"/>
          <wp:positionH relativeFrom="page">
            <wp:posOffset>13970</wp:posOffset>
          </wp:positionH>
          <wp:positionV relativeFrom="paragraph">
            <wp:posOffset>-629285</wp:posOffset>
          </wp:positionV>
          <wp:extent cx="7562850" cy="952500"/>
          <wp:effectExtent l="0" t="0" r="0" b="0"/>
          <wp:wrapNone/>
          <wp:docPr id="2" name="Obraz 2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E3449" w:rsidRPr="00F1652C" w:rsidRDefault="007E344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6EE2" w14:textId="77777777" w:rsidR="007E3449" w:rsidRDefault="007E3449">
      <w:r>
        <w:separator/>
      </w:r>
    </w:p>
  </w:footnote>
  <w:footnote w:type="continuationSeparator" w:id="0">
    <w:p w14:paraId="6B41D283" w14:textId="77777777" w:rsidR="007E3449" w:rsidRDefault="007E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7E3449" w:rsidRPr="008474FD" w:rsidRDefault="007E344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210C55CB" w:rsidR="007E3449" w:rsidRDefault="007E344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420F6" wp14:editId="7F01F267">
          <wp:simplePos x="0" y="0"/>
          <wp:positionH relativeFrom="column">
            <wp:posOffset>-890270</wp:posOffset>
          </wp:positionH>
          <wp:positionV relativeFrom="paragraph">
            <wp:posOffset>-151766</wp:posOffset>
          </wp:positionV>
          <wp:extent cx="7515225" cy="1647825"/>
          <wp:effectExtent l="0" t="0" r="0" b="9525"/>
          <wp:wrapNone/>
          <wp:docPr id="1" name="Obraz 0" descr="rad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0" descr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37101"/>
    <w:multiLevelType w:val="hybridMultilevel"/>
    <w:tmpl w:val="2BB6352C"/>
    <w:lvl w:ilvl="0" w:tplc="AC7CAA2E">
      <w:start w:val="4"/>
      <w:numFmt w:val="bullet"/>
      <w:lvlText w:val="–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3703F3"/>
    <w:multiLevelType w:val="hybridMultilevel"/>
    <w:tmpl w:val="734E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02591"/>
    <w:multiLevelType w:val="hybridMultilevel"/>
    <w:tmpl w:val="EC2E41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9" w15:restartNumberingAfterBreak="0">
    <w:nsid w:val="6F94526B"/>
    <w:multiLevelType w:val="hybridMultilevel"/>
    <w:tmpl w:val="1DC0B818"/>
    <w:lvl w:ilvl="0" w:tplc="AC7CAA2E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E70"/>
    <w:multiLevelType w:val="multilevel"/>
    <w:tmpl w:val="AEBC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8"/>
  </w:num>
  <w:num w:numId="8">
    <w:abstractNumId w:val="21"/>
  </w:num>
  <w:num w:numId="9">
    <w:abstractNumId w:val="20"/>
  </w:num>
  <w:num w:numId="10">
    <w:abstractNumId w:val="28"/>
  </w:num>
  <w:num w:numId="11">
    <w:abstractNumId w:val="31"/>
  </w:num>
  <w:num w:numId="12">
    <w:abstractNumId w:val="50"/>
  </w:num>
  <w:num w:numId="13">
    <w:abstractNumId w:val="32"/>
  </w:num>
  <w:num w:numId="14">
    <w:abstractNumId w:val="40"/>
  </w:num>
  <w:num w:numId="15">
    <w:abstractNumId w:val="19"/>
  </w:num>
  <w:num w:numId="16">
    <w:abstractNumId w:val="38"/>
  </w:num>
  <w:num w:numId="17">
    <w:abstractNumId w:val="55"/>
  </w:num>
  <w:num w:numId="18">
    <w:abstractNumId w:val="49"/>
  </w:num>
  <w:num w:numId="19">
    <w:abstractNumId w:val="43"/>
  </w:num>
  <w:num w:numId="20">
    <w:abstractNumId w:val="46"/>
  </w:num>
  <w:num w:numId="21">
    <w:abstractNumId w:val="54"/>
  </w:num>
  <w:num w:numId="22">
    <w:abstractNumId w:val="33"/>
  </w:num>
  <w:num w:numId="23">
    <w:abstractNumId w:val="44"/>
  </w:num>
  <w:num w:numId="24">
    <w:abstractNumId w:val="51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3"/>
  </w:num>
  <w:num w:numId="29">
    <w:abstractNumId w:val="37"/>
  </w:num>
  <w:num w:numId="30">
    <w:abstractNumId w:val="27"/>
  </w:num>
  <w:num w:numId="31">
    <w:abstractNumId w:val="58"/>
  </w:num>
  <w:num w:numId="32">
    <w:abstractNumId w:val="39"/>
  </w:num>
  <w:num w:numId="33">
    <w:abstractNumId w:val="30"/>
  </w:num>
  <w:num w:numId="34">
    <w:abstractNumId w:val="62"/>
  </w:num>
  <w:num w:numId="35">
    <w:abstractNumId w:val="63"/>
  </w:num>
  <w:num w:numId="36">
    <w:abstractNumId w:val="45"/>
  </w:num>
  <w:num w:numId="37">
    <w:abstractNumId w:val="6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56"/>
  </w:num>
  <w:num w:numId="44">
    <w:abstractNumId w:val="26"/>
  </w:num>
  <w:num w:numId="45">
    <w:abstractNumId w:val="25"/>
  </w:num>
  <w:num w:numId="46">
    <w:abstractNumId w:val="47"/>
  </w:num>
  <w:num w:numId="47">
    <w:abstractNumId w:val="52"/>
  </w:num>
  <w:num w:numId="48">
    <w:abstractNumId w:val="24"/>
  </w:num>
  <w:num w:numId="49">
    <w:abstractNumId w:val="34"/>
  </w:num>
  <w:num w:numId="50">
    <w:abstractNumId w:val="36"/>
  </w:num>
  <w:num w:numId="51">
    <w:abstractNumId w:val="23"/>
  </w:num>
  <w:num w:numId="52">
    <w:abstractNumId w:val="59"/>
  </w:num>
  <w:num w:numId="53">
    <w:abstractNumId w:val="22"/>
  </w:num>
  <w:num w:numId="54">
    <w:abstractNumId w:val="16"/>
  </w:num>
  <w:num w:numId="55">
    <w:abstractNumId w:val="6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04097"/>
    <w:rsid w:val="0001298A"/>
    <w:rsid w:val="000130F9"/>
    <w:rsid w:val="000156DD"/>
    <w:rsid w:val="00017A86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17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231A"/>
    <w:rsid w:val="000C2A94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32F1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A5758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2F68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30C27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0CED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355B"/>
    <w:rsid w:val="0043752D"/>
    <w:rsid w:val="00441F27"/>
    <w:rsid w:val="00444056"/>
    <w:rsid w:val="0044512B"/>
    <w:rsid w:val="00451FF1"/>
    <w:rsid w:val="00452F85"/>
    <w:rsid w:val="00453A0B"/>
    <w:rsid w:val="004544CD"/>
    <w:rsid w:val="00454A8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A5991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1C4F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563D0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2328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1BE7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2DD9"/>
    <w:rsid w:val="006D3698"/>
    <w:rsid w:val="006D5EEE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2757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B733F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3449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51D9"/>
    <w:rsid w:val="008357BA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075A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492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2AA9"/>
    <w:rsid w:val="009743BC"/>
    <w:rsid w:val="00980998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34DA"/>
    <w:rsid w:val="00AF469F"/>
    <w:rsid w:val="00AF5D4E"/>
    <w:rsid w:val="00B000B7"/>
    <w:rsid w:val="00B011C3"/>
    <w:rsid w:val="00B01394"/>
    <w:rsid w:val="00B01BA4"/>
    <w:rsid w:val="00B111C9"/>
    <w:rsid w:val="00B142C0"/>
    <w:rsid w:val="00B15222"/>
    <w:rsid w:val="00B169EE"/>
    <w:rsid w:val="00B2217B"/>
    <w:rsid w:val="00B22A90"/>
    <w:rsid w:val="00B235A1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8F"/>
    <w:rsid w:val="00BD60F7"/>
    <w:rsid w:val="00BD7A3C"/>
    <w:rsid w:val="00BE05CE"/>
    <w:rsid w:val="00BE51CC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280A"/>
    <w:rsid w:val="00C230DA"/>
    <w:rsid w:val="00C23AE0"/>
    <w:rsid w:val="00C315D4"/>
    <w:rsid w:val="00C401B7"/>
    <w:rsid w:val="00C401D6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118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4285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061E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3B22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09B6"/>
    <w:rsid w:val="00E753DA"/>
    <w:rsid w:val="00E768B9"/>
    <w:rsid w:val="00E777C6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1648"/>
    <w:rsid w:val="00F62534"/>
    <w:rsid w:val="00F625A7"/>
    <w:rsid w:val="00F627A7"/>
    <w:rsid w:val="00F672FF"/>
    <w:rsid w:val="00F705E2"/>
    <w:rsid w:val="00F7088B"/>
    <w:rsid w:val="00F7689B"/>
    <w:rsid w:val="00F8274D"/>
    <w:rsid w:val="00F87279"/>
    <w:rsid w:val="00F878CB"/>
    <w:rsid w:val="00F87E0C"/>
    <w:rsid w:val="00F90BE8"/>
    <w:rsid w:val="00F93B78"/>
    <w:rsid w:val="00F93CDC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19</Pages>
  <Words>8932</Words>
  <Characters>53593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59</cp:revision>
  <cp:lastPrinted>2020-11-26T10:51:00Z</cp:lastPrinted>
  <dcterms:created xsi:type="dcterms:W3CDTF">2020-07-20T07:17:00Z</dcterms:created>
  <dcterms:modified xsi:type="dcterms:W3CDTF">2020-11-26T10:51:00Z</dcterms:modified>
</cp:coreProperties>
</file>