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47330" w:rsidRPr="009F4795" w14:paraId="070EAF67" w14:textId="77777777" w:rsidTr="004E3C31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57237A10" w14:textId="77777777" w:rsidR="00647330" w:rsidRPr="009F4795" w:rsidRDefault="00647330" w:rsidP="004E3C31">
            <w:pPr>
              <w:pStyle w:val="Tekstprzypisudolnego"/>
              <w:spacing w:after="40"/>
              <w:ind w:left="35" w:hanging="35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47330" w:rsidRPr="009F4795" w14:paraId="13986A97" w14:textId="77777777" w:rsidTr="004E3C31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6BB1FF" w14:textId="77777777" w:rsidR="00647330" w:rsidRPr="009F4795" w:rsidRDefault="00647330" w:rsidP="004E3C31">
            <w:pPr>
              <w:pStyle w:val="Tekstprzypisudolnego"/>
              <w:spacing w:after="40"/>
              <w:ind w:left="34" w:firstLine="108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593DEC5C" w14:textId="77777777" w:rsidR="00647330" w:rsidRPr="009F4795" w:rsidRDefault="00647330" w:rsidP="0064733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47330" w:rsidRPr="009F4795" w14:paraId="10FFB3F6" w14:textId="77777777" w:rsidTr="004E3C31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37A16688" w14:textId="77777777" w:rsidR="00647330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45E73278" w14:textId="77777777" w:rsidR="00647330" w:rsidRPr="009F4795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187EED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388E532E" w14:textId="77777777" w:rsidR="00DB061E" w:rsidRPr="00DB061E" w:rsidRDefault="00DB061E" w:rsidP="00DB061E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B061E">
              <w:rPr>
                <w:rFonts w:ascii="Calibri" w:hAnsi="Calibri" w:cs="Segoe UI"/>
                <w:b/>
                <w:color w:val="000000"/>
              </w:rPr>
              <w:t>„Konserwacja oświetlenia ulicznego na terenie miasta Zduńska Wola w 2021 r.”</w:t>
            </w:r>
          </w:p>
          <w:p w14:paraId="4D38A430" w14:textId="4719E4A7" w:rsidR="00647330" w:rsidRPr="00127EE1" w:rsidRDefault="00DB061E" w:rsidP="00DB061E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B061E">
              <w:rPr>
                <w:rFonts w:ascii="Calibri" w:hAnsi="Calibri" w:cs="Segoe UI"/>
                <w:b/>
                <w:color w:val="000000"/>
              </w:rPr>
              <w:t>nr sprawy: IT.271.81.2020.KP</w:t>
            </w:r>
          </w:p>
        </w:tc>
      </w:tr>
      <w:tr w:rsidR="00647330" w:rsidRPr="009F4795" w14:paraId="0EC7388E" w14:textId="77777777" w:rsidTr="004E3C31">
        <w:trPr>
          <w:trHeight w:val="1502"/>
        </w:trPr>
        <w:tc>
          <w:tcPr>
            <w:tcW w:w="10916" w:type="dxa"/>
            <w:gridSpan w:val="2"/>
          </w:tcPr>
          <w:p w14:paraId="3CA794C5" w14:textId="77777777" w:rsidR="00647330" w:rsidRPr="00367B53" w:rsidRDefault="00647330" w:rsidP="00077171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403307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96647F4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33E31A8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2A7CAFEA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0C7570D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759603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A08984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06C6B59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102FF9A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1B89592E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F2F078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A41EE96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E6AD139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42E964A7" w14:textId="77777777" w:rsidR="00647330" w:rsidRPr="00367B53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47330" w:rsidRPr="009F4795" w14:paraId="2A682511" w14:textId="77777777" w:rsidTr="004E3C31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169EB" w14:textId="77777777" w:rsidR="00647330" w:rsidRPr="00367B53" w:rsidRDefault="00647330" w:rsidP="00077171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7BD91709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6A71D97E" w14:textId="77777777" w:rsidR="00DB061E" w:rsidRPr="00DB061E" w:rsidRDefault="00DB061E" w:rsidP="00DB061E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B061E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„Konserwacja oświetlenia ulicznego na terenie miasta Zduńska Wola w 2021 r.”</w:t>
            </w:r>
          </w:p>
          <w:p w14:paraId="1058874F" w14:textId="77777777" w:rsidR="00DB061E" w:rsidRDefault="00DB061E" w:rsidP="00DB061E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B061E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IT.271.81.2020.KP</w:t>
            </w:r>
          </w:p>
          <w:p w14:paraId="4E4AE60B" w14:textId="35D3906D" w:rsidR="00647330" w:rsidRPr="000D549B" w:rsidRDefault="00647330" w:rsidP="00DB061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47330" w:rsidRPr="009F4795" w14:paraId="40416E9D" w14:textId="77777777" w:rsidTr="004E3C31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862B452" w14:textId="77777777" w:rsidR="00647330" w:rsidRPr="00117BBF" w:rsidRDefault="00647330" w:rsidP="00077171">
            <w:pPr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47330" w:rsidRPr="00886E41" w14:paraId="53569F9C" w14:textId="77777777" w:rsidTr="00647330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ACA200" w14:textId="6C378AEF" w:rsidR="00647330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za cenę brutto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718F308C" w14:textId="4EAEF1E7" w:rsidR="004E3C31" w:rsidRDefault="004E3C31" w:rsidP="004E3C31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</w:p>
                <w:tbl>
                  <w:tblPr>
                    <w:tblW w:w="1052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4"/>
                    <w:gridCol w:w="5304"/>
                    <w:gridCol w:w="1134"/>
                    <w:gridCol w:w="1134"/>
                    <w:gridCol w:w="419"/>
                    <w:gridCol w:w="574"/>
                    <w:gridCol w:w="1269"/>
                    <w:gridCol w:w="148"/>
                  </w:tblGrid>
                  <w:tr w:rsidR="00DB061E" w:rsidRPr="0087075A" w14:paraId="57D137B9" w14:textId="77777777" w:rsidTr="007E3449">
                    <w:trPr>
                      <w:trHeight w:val="1305"/>
                    </w:trPr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F85077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Lp.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33A930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Opis pozycji kosztorysowej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EE8CFA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Nazwa jednostki obmiarowej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A31414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Ilość</w:t>
                        </w: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br/>
                          <w:t>jednostek obmiarowych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464B7D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cena jedn. obmiarowa brutto [zł] 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CAB694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Razem cena </w:t>
                        </w:r>
                      </w:p>
                      <w:p w14:paraId="32CB2023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(kol. 4x5)</w:t>
                        </w:r>
                      </w:p>
                      <w:p w14:paraId="359CB4CF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(w zł brutto)</w:t>
                        </w:r>
                      </w:p>
                    </w:tc>
                  </w:tr>
                  <w:tr w:rsidR="00DB061E" w:rsidRPr="0087075A" w14:paraId="7DD81409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539BD6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8E1C3C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DE0C2D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860737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CFC643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F5C6CA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DB061E" w:rsidRPr="0087075A" w14:paraId="53C8A7C1" w14:textId="77777777" w:rsidTr="007E3449">
                    <w:trPr>
                      <w:trHeight w:val="398"/>
                    </w:trPr>
                    <w:tc>
                      <w:tcPr>
                        <w:tcW w:w="10526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85A99C" w14:textId="77777777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  <w:t>Konserwacja oświetlenia ulicznego za okres 12 miesięcy</w:t>
                        </w:r>
                      </w:p>
                    </w:tc>
                  </w:tr>
                  <w:tr w:rsidR="0087075A" w:rsidRPr="0087075A" w14:paraId="1FDAFDB2" w14:textId="77777777" w:rsidTr="007E3449">
                    <w:trPr>
                      <w:trHeight w:val="39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D8680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01C01B4" w14:textId="6573D3C0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"Wymiana źródeł światła opraw sodowych 250 - 400 W. Obejmuje również: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D7A2777" w14:textId="629D2395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248C83D" w14:textId="386618A8" w:rsidR="0087075A" w:rsidRPr="0087075A" w:rsidRDefault="00F073FB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3694F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E9D0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3D194F09" w14:textId="77777777" w:rsidTr="007E3449">
                    <w:trPr>
                      <w:trHeight w:val="45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435B9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61CF2F0" w14:textId="278F59B3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- utylizację zużytej lampy, czyszczenie klosza i odbłyśnika oprawy"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5FA0C78A" w14:textId="4234325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613D79E" w14:textId="54D026A3" w:rsidR="0087075A" w:rsidRPr="0087075A" w:rsidRDefault="00F073FB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3A41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FBAC9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1D519C38" w14:textId="77777777" w:rsidTr="007E3449">
                    <w:trPr>
                      <w:trHeight w:val="45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F9E3D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A755BA" w14:textId="4170DF8D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"Wymiana źródeł światła opraw sodowych 150 W. Obejmuje również: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65907C23" w14:textId="172644C3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2F73410" w14:textId="3317F88B" w:rsidR="0087075A" w:rsidRPr="0087075A" w:rsidRDefault="00F073FB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5327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EB5C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1CE5F126" w14:textId="77777777" w:rsidTr="007E3449">
                    <w:trPr>
                      <w:trHeight w:val="42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E2D7E6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F817E4D" w14:textId="0125BE5A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/ montaż kompletnych opraw drogowych typu LED w zakresie mocy poniżej 40 W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65D73174" w14:textId="5BC6332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B91150C" w14:textId="3D9374C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1220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3815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E6004F3" w14:textId="77777777" w:rsidTr="007E3449">
                    <w:trPr>
                      <w:trHeight w:val="42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61131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3268D2E" w14:textId="20042C22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/ montaż kompletnych opraw drogowych typu LED w zakresie mocy powyżej 50 W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9031B84" w14:textId="2E73583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7436FE4" w14:textId="6DC3EA49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86EF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604B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064C4B4A" w14:textId="77777777" w:rsidTr="007E3449">
                    <w:trPr>
                      <w:trHeight w:val="42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AAACA7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2AE5C5C" w14:textId="5B1DD8FC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/ Montaż kompletnych drogowych opraw sodowych 70 - 150W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619F928" w14:textId="68BFC79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6D785529" w14:textId="65F338D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14:paraId="3C67F9BC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14:paraId="7BE4743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7075A" w:rsidRPr="0087075A" w14:paraId="61968837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F1049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448E85F" w14:textId="36517B42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Montaż oprawy wraz z demontażem starej, na słupie linii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nN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lub kablowej na istniejącym wysięgniku (oprawa Zamawiającego)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6C07591A" w14:textId="082974E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0F23D6B" w14:textId="1A06D202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B1F3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8753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5D01ADF2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F484C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96246D" w14:textId="6EF25EBA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Montaż oprawy Zamawiającego na słupie linii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nN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wraz z nowym wysięgnikiem i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oprzewodowaniem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(tzw. Dowieszenie)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14003F8B" w14:textId="0E40AF5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8927815" w14:textId="046610BB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5AD7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DC23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7973C7ED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B0C8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9D9627" w14:textId="3DEBCE23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Demontaż oprawy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B962597" w14:textId="688875D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4A2D0060" w14:textId="3F67D45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439B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D70F5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72CBD94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C9DB2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FE8BA48" w14:textId="7E749A3F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Malowanie latarni stalowych do wysokości 8m jednokrotnie (farba do powierzchni metalowych w kolorze wybranym przez Zamawiającego),  zabezpieczenie farbą podstawy  wraz z materiałem. Farba zapewniająca ochronę przed korozją na poziomie 6-8 lat.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1E3F63EE" w14:textId="2598475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0E95A09" w14:textId="4C8414E4" w:rsidR="0087075A" w:rsidRPr="0087075A" w:rsidRDefault="00F073FB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FC41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18DE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0636C6B7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71A7E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5421B16" w14:textId="5A4E5899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stateczników w oprawach oświetleniowych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415E540" w14:textId="0F13342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7087BF3" w14:textId="2628D63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7FFD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F41A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78487E2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72178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9FE311E" w14:textId="0AA9CD36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układów zapłonowych opraw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7AF5565" w14:textId="7F2D136E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C6BC329" w14:textId="55BB941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AA99A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94B2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3251BD54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5DC0D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1BBECD9" w14:textId="4D67E658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oprawek do lamp sodowych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4179F428" w14:textId="253FC12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E988CA0" w14:textId="30E9605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7DE1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118C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11B1533E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D90A5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56FA399" w14:textId="25FC8D9F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Mycie kloszy opraw parkowych i ulicznych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6E3EA30" w14:textId="5BA002C9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209C29D4" w14:textId="15BFA0E5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D5D3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ECFCF7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5E6B39B4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D33E4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07F716" w14:textId="64D1C375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Montaż słupa oświetleniowego ocynkowanego w zieleńcu bądź chodniku o wysokości do 9m wraz z fundamentem prefabrykowanym  (wraz z wyposażeniem wnęki, podłączeniem kabli, wysięgnikiem do kompletu,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oprzewodowaniem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, demontażem starej latarni, transportem)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4D9EFF07" w14:textId="6B78EAC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7AA8915" w14:textId="62BDC1E9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9C6C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C1D4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5604602" w14:textId="77777777" w:rsidTr="007E3449">
                    <w:trPr>
                      <w:trHeight w:val="789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91883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424111B" w14:textId="03BD2844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Montaż słupa oświetleniowego ocynkowanego w zieleńcu bądź chodniku o wysokości do 11 m wraz z fundamentem prefabrykowanym  (wraz z wyposażeniem wnęki, podłączeniem kabli, wysięgnikiem do kompletu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oprzewodowaniem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, demontażem starej latarni, transportem)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66B11232" w14:textId="2C78E7C3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213FCC1" w14:textId="5835BB0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443D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3C67A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58850F70" w14:textId="77777777" w:rsidTr="007E3449">
                    <w:trPr>
                      <w:trHeight w:val="70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6A8F4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063988" w14:textId="639174E1" w:rsidR="0087075A" w:rsidRPr="0087075A" w:rsidRDefault="006E5782" w:rsidP="0087075A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Montaż słupa oświetleniowego aluminiowego anodowanego w zieleńcu (Aleje Kościuszki) o wysokości 6 m wraz z fundamentem prefabrykowanym  (wraz z wyposażeniem wnęki, podłączeniem kabli, wysięgnikiem do kompletu, </w:t>
                        </w:r>
                        <w:proofErr w:type="spellStart"/>
                        <w:r w:rsidRP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oprzewodowaniem</w:t>
                        </w:r>
                        <w:proofErr w:type="spellEnd"/>
                        <w:r w:rsidRP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, montażem gniazda, demontażem starej latarni, transportem). </w:t>
                        </w:r>
                        <w:r w:rsidR="00071534" w:rsidRP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Wysięgnik</w:t>
                        </w:r>
                        <w:r w:rsidRP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musi być przygotowany pod oprawę </w:t>
                        </w:r>
                        <w:proofErr w:type="spellStart"/>
                        <w:r w:rsidRP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schreder</w:t>
                        </w:r>
                        <w:proofErr w:type="spellEnd"/>
                        <w:r w:rsidRP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albana</w:t>
                        </w:r>
                        <w:proofErr w:type="spellEnd"/>
                        <w:r w:rsidRP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. Planowany termin montażu słupów do 12.02.2021 r.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11D9E17D" w14:textId="3C1E4A35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EAC2C09" w14:textId="43F77B4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  <w:r w:rsidR="006E578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2234E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36CE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511B55D3" w14:textId="77777777" w:rsidTr="007E3449">
                    <w:trPr>
                      <w:trHeight w:val="612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AE26C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B11CFF8" w14:textId="464EB220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color w:val="000000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Zmiana miejsca posadowienia słupa oświetlenia ulicznego (max 10m) wraz z przedłużeniem kabli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56441BA" w14:textId="4B5E839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23A2DDF" w14:textId="74E094E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FEB1C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7238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34C83461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B860B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</w:tcPr>
                      <w:p w14:paraId="5C61FC07" w14:textId="1894BD11" w:rsidR="0087075A" w:rsidRPr="0087075A" w:rsidRDefault="0087075A" w:rsidP="0087075A">
                        <w:pPr>
                          <w:jc w:val="both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Naprawa i podpięcie wyrwanych przewodów we wnękach słupowych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60E8C4F" w14:textId="70513A73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7297E86" w14:textId="17AC25B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E7D3F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C6DA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7269B43F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8E3F5C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F21A044" w14:textId="1D25E402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/ montaż wysięgnika zwykłego jednoramiennego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80DFD4A" w14:textId="5BFC10C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BBAB647" w14:textId="391A732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FBD0C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46DEC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69F4B1AD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34D9F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29A7C9E" w14:textId="51A8E85B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istniejących wysięgników jednoramiennych na dwuramienne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BABB9D4" w14:textId="2D3E233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604BA60" w14:textId="7CBC532F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EF63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7F02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54B4B516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512BF6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4106EB6" w14:textId="5CB82731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izolacyjnych złączy słupowych (zabudowa złączy typu IZK)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573F6CA" w14:textId="70C6CB4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CCF5F79" w14:textId="611C161E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8E98B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5BD1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58318072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93E5A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BDD4D1F" w14:textId="1FC46B07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przewodów w słupach YKY 3 x 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03E46CDE" w14:textId="112D37D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D312283" w14:textId="6B89030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5FFB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2EE5C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6131119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1972F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15D9BD2" w14:textId="4D4AB86B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Montaż na słupie oświetleniowym gniazda 230V IP55 wraz z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oprzewodowaniem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i zabezpieczeniem C10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6F2F9271" w14:textId="0D158C6F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F11DA03" w14:textId="5D8A666F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55A5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8813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7D46D6E2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83C34C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DE824F0" w14:textId="5EA9BDF1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osłon wnęk słupowych wraz z opaską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1DDDB500" w14:textId="70F2001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5D75821C" w14:textId="70EDF50D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0D6676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05AC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35780503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AEA71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4D1B76" w14:textId="30E8AD81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Pionowanie słupów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5D234C3E" w14:textId="1318BE9E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2E30C037" w14:textId="4A6626A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AC1B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66B1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790BC5F7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6516E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92BD14A" w14:textId="6954F75E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Poprawa ustawienia wysięgników i opraw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6108E104" w14:textId="6227933E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2CAD4E31" w14:textId="6411A194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D6B5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AE12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7628D39F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B6952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E850643" w14:textId="343257B0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Lokalizacja miejsca uszkodzenia kabla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04DECF0" w14:textId="35C5EA8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887A0A8" w14:textId="3A347BA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2B356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CB1A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576DD47F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4B673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C2499F" w14:textId="0A5AD528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Naprawa kabli oświetleniowych (wraz z odkopaniem,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mufowaniem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i przedłużeniem kabla)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28F208B" w14:textId="4C6E40F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7E04EC9" w14:textId="53C93EF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B4A2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807B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76CFF7ED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7DE92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8653410" w14:textId="59B00751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linii kablowej oświetleniowej YAKY 4x35 lub 5x45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D8B0F91" w14:textId="12A6421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5AE131FF" w14:textId="1270DEEE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7FB7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62F4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9E36769" w14:textId="77777777" w:rsidTr="007E3449">
                    <w:trPr>
                      <w:trHeight w:val="42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673017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8ACB8E6" w14:textId="46BF1DC3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linii kablowej YKY 4x25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53E2187" w14:textId="79EDFBF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5B9906F1" w14:textId="48447D1B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C2FA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D0D4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0B4F4382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30256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27D52E4" w14:textId="2CE5A280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Odtworzenie nawierzchni chodnika z płyt, kostki betonowej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CE1D0C4" w14:textId="1C10AB5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6E12C42B" w14:textId="06804702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CA51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55A2B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44A2C7C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DD989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2337B79" w14:textId="0097C81E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przewodu napowietrznego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ASXSn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2x35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C14A7CD" w14:textId="2C2CC41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2F762AF5" w14:textId="0230D52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AB76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B697A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A520984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996F9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55B6FFD" w14:textId="4E67E4FE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zacisków prądowej linii napowietrznej izolowanej lub nieizolowanej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FE41F4B" w14:textId="57C4FA6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5D9146AD" w14:textId="10CEFF52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1512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3647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3E12A46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43D017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C92D29A" w14:textId="7217D7A5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Naprawa zerwanego przewodu napowietrznej linii nieizolowanej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7A64C64" w14:textId="23C13052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01CD6822" w14:textId="7025AD4D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07E9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6824A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2B9B80C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1F8DA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8A31C9" w14:textId="17B8BDFF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przewodu Al linii napowietrznej  o przekroju 16 -50 mm2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61A4B7FF" w14:textId="2FFC4BA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07339286" w14:textId="70764BDF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8CCD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7036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1FA07CC4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D6582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37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EFFFDE6" w14:textId="6A44FA05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szafy oświetleniowej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DBC2975" w14:textId="7E9B18BF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68F6397" w14:textId="6A9C51C4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C7BE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979B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39F009D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DF1FA7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38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CCE2934" w14:textId="733879BD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Wykonanie uziomu szpilkowego Fe/Zn F 20 mm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5C0F7A25" w14:textId="75FB5D6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8CDB781" w14:textId="09F9A945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5B67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4DA1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E56DA63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E76E96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A8A4B61" w14:textId="58A34563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gniazd bezpiecznikowych do 63 A w SO (koszt uśredniony)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067AAEBE" w14:textId="1F4F1AB4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B8E7515" w14:textId="49DF601B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E7A1A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EF84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64891999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04DCB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93F64D" w14:textId="65682DA0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wkładek bezpiecznikowych 6 - 32A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055CCD34" w14:textId="4243E495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54390693" w14:textId="2BF74254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E289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7237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8F76602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A7DC5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4BD0D0A" w14:textId="68AB2F96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wkładek bezpiecznikowych do 63A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3A9EFDB" w14:textId="70804D53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19637961" w14:textId="47B85D2B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4496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0624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6B8CA942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112C4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42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BDB5EB4" w14:textId="0A4D6CE1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wyłączników nadprądowych 6 - 63A (charakterystyka C lub D)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9CCF5DC" w14:textId="3AF2355B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0700C3EE" w14:textId="06DB0D7F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92E1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1B18A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03804183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4641D7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8588822" w14:textId="4E2BE8B7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wyłączników nadprądowych selektywnych typu Cs 16 - 63A 1f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76B4E94" w14:textId="042A2D42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2AB24F85" w14:textId="098CA639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16D4C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AB72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5F87342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5DEDD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lastRenderedPageBreak/>
                          <w:t>44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07B4F17" w14:textId="058B821C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zabezpieczenia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przedlicznikowego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 na wyłączniki instalacyjne (3x1f) o charakterystyce CS w obudowie przystosowanej do plombowania.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0595FF59" w14:textId="4A9D069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6671B293" w14:textId="73D19BB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CA8EA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8E7F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D43CE5C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6A741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9F5146F" w14:textId="540B268A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stycznika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kl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AC3 80 A w szafie oświetleniowej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4A1DE45A" w14:textId="30755BB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77CE3E9D" w14:textId="4B4EBDF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4F8C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8F24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138F4195" w14:textId="77777777" w:rsidTr="007E3449">
                    <w:trPr>
                      <w:trHeight w:val="48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50725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46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405CE9" w14:textId="46FDA96A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zegara sterującego astronomicznego (zegar typu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astroclock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6A392B89" w14:textId="654CD14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2E481F41" w14:textId="5439531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E3DD7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360A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15967D7C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D3A7F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DFFA29" w14:textId="0C59191C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Regulacja  zegarów sterujących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68CD6BA" w14:textId="76DC5B8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141683A0" w14:textId="36362C0B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C453E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2FF3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68CD543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58CBF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48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E95E5B2" w14:textId="5124F33B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Naprawa usterek aparatury elektrycznej szafy oświetleniowej (koszt uśredniony)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0799E07E" w14:textId="5D1D20D5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3545FAF2" w14:textId="574477C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8E01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9CBD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2AB5EC2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DE37F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F16DE24" w14:textId="46255AC0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Naprawa elementów mechanicznych szafy oświetleniowej (wymiana zacisków, przełączników, wyłączników krańcowych, przewodów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itp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….)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B55073C" w14:textId="1F288395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780361E2" w14:textId="32826B33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F1A2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2C32F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36FAD26A" w14:textId="77777777" w:rsidTr="007E3449">
                    <w:trPr>
                      <w:trHeight w:val="23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5F0116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EB95CD9" w14:textId="22174E38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Wykonanie stalowych drzwi szafy oświetleniowej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82B989E" w14:textId="499DCD4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kpl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3B8AD08C" w14:textId="5057625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F5B1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7094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A578B3A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66F12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B3DDA9B" w14:textId="73208558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Poprawa i czyszczenie styków w oprawach, złączach słupowych, podstawach bezpiecznikowych, aparaturze łączeniowej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4EF82EB2" w14:textId="0A0525F5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222439F5" w14:textId="43636849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036E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83AE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31B4BC8A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850079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52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6FD19C" w14:textId="4B04A940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główki bezpiecznikowej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54C93B97" w14:textId="1929785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46FFFB9A" w14:textId="4D1F0404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4246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64F8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05AF0AD6" w14:textId="77777777" w:rsidTr="007E3449">
                    <w:trPr>
                      <w:trHeight w:val="42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B1C83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53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5A7D6F" w14:textId="0CDDD4BE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Naprawa połączeń w bezpiecznikach napowietrznych (BNU/BNO)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28ADF9F" w14:textId="2BDB7819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14B19781" w14:textId="39E9FEF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DE0F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B566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DCB32AE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F5D8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F4D1B3" w14:textId="3537445B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Wymiana podstaw bezpieczników napowietrznych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F1D93F2" w14:textId="6603FBA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2CC1958A" w14:textId="60E7510D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9294E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6CCCA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3679EED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641A1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64AFA19" w14:textId="7BFC0844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podstaw bezpiecznikowych PBD1 , PBG00 itp.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0569349A" w14:textId="6A96A61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013AF2B" w14:textId="377D771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33D97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98F3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FA32D71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48A63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56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1C7333" w14:textId="484F598A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Wymiana bezpieczników BM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057C5DB9" w14:textId="1DF323C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F242ECB" w14:textId="66DBC413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3D82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27D856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1EF61CF9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13057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57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EC68A84" w14:textId="33FB9C27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Zmiana lokalizacji szafy oświetleniowej do 10m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1BCB854" w14:textId="6E8A9B8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2FF84835" w14:textId="073B62A4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6DCF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88B78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6AC8A725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C24F4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673F70" w14:textId="0EF2206B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Wyniesienie istniejącego układu pomiarowo-rozdzielczego do nowej szafki (linia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nn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kablowa)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AF988D3" w14:textId="2EFB81B3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kpl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202D807" w14:textId="729D20DD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26421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C1182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09219E88" w14:textId="77777777" w:rsidTr="007E3449">
                    <w:trPr>
                      <w:trHeight w:val="25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C136D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59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62C960" w14:textId="18D3F57C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Malowanie wysięgników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9D442D6" w14:textId="29AD1FA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5F14F936" w14:textId="2E2F2744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974F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A0F1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3178857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CB6B4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60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BE01CAC" w14:textId="632940EE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Wykonanie przeglądu technicznego nowych obiektów oświetleniowych przed przyjęciem do eksploatacji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1FB8D910" w14:textId="4D726AF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16C07D8" w14:textId="0A65405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75927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053B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B2E0580" w14:textId="77777777" w:rsidTr="007E3449">
                    <w:trPr>
                      <w:trHeight w:val="289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D63FA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E55DA64" w14:textId="06CCD695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Opracowanie kosztorysu powykonawczego za naprawę uszkodzonej infrastruktury oświetleniowej (szkody komunikacyjne, dewastacje, kradzieże)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4EA8029F" w14:textId="3B84EAFE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E7974DE" w14:textId="2A69E773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519BA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8CD6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8CB413E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5C1D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62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F3918E3" w14:textId="633E2E0D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Cięcie techniczne konarów drzew (przy liniach napowietrznych i latarniach) wraz z utylizacją gałęzi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5C7C8B83" w14:textId="7ED415E9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przęsło/latarnia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10112A2" w14:textId="4193E29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495D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5FDE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CD9B8F0" w14:textId="77777777" w:rsidTr="007E3449">
                    <w:trPr>
                      <w:trHeight w:val="405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92C0B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63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0F6FF9E" w14:textId="488F949A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Pomiary elektryczne izolacja, ochrona, uziemienia wraz z opracowaniem i dostarczeniem protokołów z pomiarów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4EB94EE0" w14:textId="6831F9C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kpl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/słup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613D898" w14:textId="5B3B393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9044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6E9F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6E037596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98A8B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64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8DDABB" w14:textId="4366B17E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Pomiary elektryczne izolacja, ochrona, uziemienia wraz z opracowaniem i dostarczeniem protokołów z pomiarów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B0D3F1B" w14:textId="5CD82FF4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kpl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/szafa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63ABC5D" w14:textId="7DA96BB1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8EF3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DCCF2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35DF073A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C2EFB5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65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72C21A" w14:textId="76B580F6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Doraźna likwidacja zagrożenia od infrastruktury oświetleniowej powstałego na skutek dewastacji, kolizji drogowych i innych zdarzeń losowych do czasu likwidacji szkody, wraz ze sporządzeniem dokumentacji fotograficznej i przekazaniem jej Zamawiającemu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78D46FF" w14:textId="653B727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41E97FAD" w14:textId="663EFBD2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D3DDE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58AE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A1B88F9" w14:textId="77777777" w:rsidTr="007E3449">
                    <w:trPr>
                      <w:trHeight w:val="4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251C34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66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2B7D274" w14:textId="02D24175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kontrola stanu załączenia się i sprawności oświetlenia miasta oraz dokumentowanie, archiwizowanie i przedstawienie Zamawiającemu wykonywanych oględzin w formie protokołu. ilość odnosi się do przeglądu </w:t>
                        </w:r>
                        <w:r w:rsidR="00071534"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jednego</w:t>
                        </w: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z trzech Rejonów: Rejon północny, południowy, 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karsznice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. Ulica Łaska stanowi granicę podziału.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11184A1" w14:textId="6FE31AC3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szt.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481A022F" w14:textId="1B86B03D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29BE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44DDB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2365F437" w14:textId="77777777" w:rsidTr="0087075A">
                    <w:trPr>
                      <w:trHeight w:val="526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629E10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67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568AFA" w14:textId="482698C3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Załączenie i wyłączenie zasilania oświetlenia celem nagłośnienia imprez plenerowych / </w:t>
                        </w:r>
                        <w:r w:rsidR="00071534"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uroczystości</w:t>
                        </w: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(w tym w dniach świątecznych)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721E7761" w14:textId="23350698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5D6A712" w14:textId="0EAB530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4277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BF153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30996268" w14:textId="77777777" w:rsidTr="0087075A">
                    <w:trPr>
                      <w:trHeight w:val="279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56AD96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D4E1189" w14:textId="545ED2CF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pracownik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7037788" w14:textId="047D898F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r-g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4B0D702D" w14:textId="3EF3EDAC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54B08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C6632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438F6E2E" w14:textId="77777777" w:rsidTr="0087075A">
                    <w:trPr>
                      <w:trHeight w:val="269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610C3F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69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311F85E9" w14:textId="6ABD747E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podnośnik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160F7E4" w14:textId="703ED660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m-g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20129ACE" w14:textId="0C95BD5A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9946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FC6EE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87075A" w:rsidRPr="0087075A" w14:paraId="115DD8B1" w14:textId="77777777" w:rsidTr="007E3449">
                    <w:trPr>
                      <w:trHeight w:val="106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82ACC1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602A6458" w14:textId="679A3BA2" w:rsidR="0087075A" w:rsidRPr="0087075A" w:rsidRDefault="0087075A" w:rsidP="0087075A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samochód ciężarowy do 10 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5558641A" w14:textId="3117AFE6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m-g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B051502" w14:textId="46D16A2B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3C637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819AD" w14:textId="77777777" w:rsidR="0087075A" w:rsidRPr="0087075A" w:rsidRDefault="0087075A" w:rsidP="0087075A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B061E" w:rsidRPr="0087075A" w14:paraId="1D1AA08D" w14:textId="77777777" w:rsidTr="007E3449">
                    <w:trPr>
                      <w:trHeight w:val="546"/>
                    </w:trPr>
                    <w:tc>
                      <w:tcPr>
                        <w:tcW w:w="10526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B1E13D" w14:textId="77777777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  <w:t>Dekoracja świąteczna</w:t>
                        </w:r>
                      </w:p>
                    </w:tc>
                  </w:tr>
                  <w:tr w:rsidR="00DB061E" w:rsidRPr="0087075A" w14:paraId="7C39128C" w14:textId="77777777" w:rsidTr="007E3449">
                    <w:trPr>
                      <w:trHeight w:val="120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8E0E53" w14:textId="108D9E91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  <w:r w:rsid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C85C78" w14:textId="748CB33D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Montaż i demontaż po uprzednim sprawdzeniu sprawności zawieszki na stelażu aluminiowym mocowanej do słupa. Słupy do 8m, wyposażone w gniazda zasilające. Do montażu potrzebna będzie taśma mocująca lub spinki plastikowe. Zawieszki montowane po kilka/kilkanaście sztuk na danej ulicy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904B06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B0071" w14:textId="6891EB9B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6CD208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C254B9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B061E" w:rsidRPr="0087075A" w14:paraId="13DBC3D2" w14:textId="77777777" w:rsidTr="007E3449">
                    <w:trPr>
                      <w:trHeight w:val="105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8980CB" w14:textId="0024A056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  <w:r w:rsid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EB002" w14:textId="02336255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Montaż i demontaż po uprzednim sprawdzeniu sprawności choinek na stelażu aluminiowym o wysokości 5 m.  w miejscach wskazanych przez Zamawiającego z podłączeniem do zasilania (choinka składa się z 5 elementów).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530269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04D23" w14:textId="03BAFEF1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EC0D23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0ADE3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B061E" w:rsidRPr="0087075A" w14:paraId="682F25E1" w14:textId="77777777" w:rsidTr="007E3449">
                    <w:trPr>
                      <w:trHeight w:val="45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F4078F" w14:textId="489C0B5E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  <w:r w:rsid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D2E299" w14:textId="1DD64F63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Montaż i demontaż po uprzednim sprawdzeniu sprawności iluminacji w kształcie bombek o średnicy 3 m i dekoracji 3d o wym. 2,7x4 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4BE5EB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C03625" w14:textId="240DEA11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EA181D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ABCEF3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B061E" w:rsidRPr="0087075A" w14:paraId="61BB4F88" w14:textId="77777777" w:rsidTr="007E3449">
                    <w:trPr>
                      <w:trHeight w:val="45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CD0E43" w14:textId="5FDED0B5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  <w:r w:rsid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A92544" w14:textId="4590F061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Udekorowanie choinek światełkami w Al.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Rajczaka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i na Placu Zwycięstwa (choinki żywe. Dwie tuje w Al.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Rajczaka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i 1 szt. Plac Zwycięstwa w Karsznicach. Montaż i demontaż wraz z zasilaniem)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075E2C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szt.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487DD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CD06E0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D6DD5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B061E" w:rsidRPr="0087075A" w14:paraId="4C61CB12" w14:textId="77777777" w:rsidTr="007E3449">
                    <w:trPr>
                      <w:trHeight w:val="45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E6F55C" w14:textId="60DAB2F4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  <w:r w:rsid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5FCC45" w14:textId="6E70E993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Montaż i demontaż po uprzednim sprawdzeniu sprawności iluminacji – Ozdoba 3d kartka świąteczna 3m x 4,3m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2C6AF3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FDE18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C81530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E19D71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B061E" w:rsidRPr="0087075A" w14:paraId="1529491C" w14:textId="77777777" w:rsidTr="007E3449">
                    <w:trPr>
                      <w:trHeight w:val="45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EB85544" w14:textId="22CBC5E4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  <w:r w:rsid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AC08D6" w14:textId="5D7C91D0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Montaż i demontaż  projektora świetlnego w wskazanym miejscu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2DBF29A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14:paraId="0AF6D743" w14:textId="0FF303EF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ACEC99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14:paraId="16FD7975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061E" w:rsidRPr="0087075A" w14:paraId="2BB7FC0A" w14:textId="77777777" w:rsidTr="007E3449">
                    <w:trPr>
                      <w:trHeight w:val="45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BE67536" w14:textId="32CBB819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lastRenderedPageBreak/>
                          <w:t>7</w:t>
                        </w:r>
                        <w:r w:rsid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2B81BF" w14:textId="262BB4A1" w:rsidR="00DB061E" w:rsidRPr="0087075A" w:rsidRDefault="00071534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Udekorowanie</w:t>
                        </w:r>
                        <w:r w:rsidR="00DB061E"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mostka i altany  w parku miejskim, sznurami świetlnymi (montaż i </w:t>
                        </w: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demontaż</w:t>
                        </w:r>
                        <w:r w:rsidR="00DB061E"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wraz z </w:t>
                        </w: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podłączeniem</w:t>
                        </w:r>
                        <w:r w:rsidR="00DB061E"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zasilania)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1D29DE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4DC0D4D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8F74A25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1E43AFF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061E" w:rsidRPr="0087075A" w14:paraId="71E75E23" w14:textId="77777777" w:rsidTr="007E3449">
                    <w:trPr>
                      <w:trHeight w:val="45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C4CD657" w14:textId="606CB16D" w:rsidR="00DB061E" w:rsidRPr="0087075A" w:rsidRDefault="0087075A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78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C795C2" w14:textId="4120911E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Montaż i demontaż po uprzednim sprawdzeniu sprawności zawieszki na stelażu aluminiowym mocowanej do słupa na rondzie. Zawieszka 3d, wys. Ok. 3 m.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C8F843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14:paraId="59E8F270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8A99332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14:paraId="7C80BD34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061E" w:rsidRPr="0087075A" w14:paraId="608292FB" w14:textId="77777777" w:rsidTr="007E3449">
                    <w:trPr>
                      <w:trHeight w:val="458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89549E5" w14:textId="4E453462" w:rsidR="00DB061E" w:rsidRPr="0087075A" w:rsidRDefault="0087075A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79</w:t>
                        </w:r>
                      </w:p>
                    </w:tc>
                    <w:tc>
                      <w:tcPr>
                        <w:tcW w:w="53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F856473" w14:textId="77777777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Udekorowanie żywej choinki sznurami </w:t>
                        </w:r>
                        <w:proofErr w:type="spellStart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led</w:t>
                        </w:r>
                        <w:proofErr w:type="spellEnd"/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i bombkami wraz z podłączeniem zasilania.</w:t>
                        </w:r>
                      </w:p>
                      <w:p w14:paraId="52409AC0" w14:textId="544B847F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Choinka o </w:t>
                        </w:r>
                        <w:r w:rsidR="00071534"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wysokości</w:t>
                        </w: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ok. 7m. Demontaż urządzeń po stronie Wykonawcy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37D994F" w14:textId="6EB9F51A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szt.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14:paraId="546F3235" w14:textId="2DF43B4B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8E5F22C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14:paraId="3888506F" w14:textId="77777777" w:rsidR="00DB061E" w:rsidRPr="0087075A" w:rsidRDefault="00DB061E" w:rsidP="00DB061E">
                        <w:pPr>
                          <w:jc w:val="center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061E" w:rsidRPr="0087075A" w14:paraId="4865284F" w14:textId="77777777" w:rsidTr="007E3449">
                    <w:trPr>
                      <w:trHeight w:val="383"/>
                    </w:trPr>
                    <w:tc>
                      <w:tcPr>
                        <w:tcW w:w="910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13546F" w14:textId="134ABCB1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  <w:t xml:space="preserve">ŁĄCZNA CENA OFERTOWA BRUTTO za 12 miesięcy- (suma poz. od 1 do </w:t>
                        </w:r>
                        <w:r w:rsidR="0087075A"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  <w:t>79</w:t>
                        </w:r>
                        <w:r w:rsidRPr="0087075A"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9AF993" w14:textId="77777777" w:rsidR="00DB061E" w:rsidRPr="0087075A" w:rsidRDefault="00DB061E" w:rsidP="00DB061E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B061E" w:rsidRPr="0087075A" w14:paraId="7DB77A93" w14:textId="77777777" w:rsidTr="007E344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148" w:type="dxa"/>
                      <w:trHeight w:val="315"/>
                    </w:trPr>
                    <w:tc>
                      <w:tcPr>
                        <w:tcW w:w="10378" w:type="dxa"/>
                        <w:gridSpan w:val="7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6BC84978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  <w:t>Ponadto oświadczam(y) że:</w:t>
                        </w:r>
                      </w:p>
                    </w:tc>
                  </w:tr>
                  <w:tr w:rsidR="00DB061E" w:rsidRPr="0087075A" w14:paraId="4DCAFEA1" w14:textId="77777777" w:rsidTr="007E344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148" w:type="dxa"/>
                      <w:trHeight w:val="684"/>
                    </w:trPr>
                    <w:tc>
                      <w:tcPr>
                        <w:tcW w:w="8535" w:type="dxa"/>
                        <w:gridSpan w:val="5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02E64E85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  <w:t>Czas usunięcia usterek w przypadku zgłoszenia pojedynczych nieświecących punktów świetlnych (proszę wpisać liczbę godzin do 96)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 w14:paraId="585EF432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061E" w:rsidRPr="0087075A" w14:paraId="62B7E339" w14:textId="77777777" w:rsidTr="007E344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148" w:type="dxa"/>
                      <w:trHeight w:val="684"/>
                    </w:trPr>
                    <w:tc>
                      <w:tcPr>
                        <w:tcW w:w="8535" w:type="dxa"/>
                        <w:gridSpan w:val="5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7F973682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  <w:t>Czas usunięcia awarii całych nieświecących linii oświetlenia (proszę wpisać liczbę godzin do 48)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 w14:paraId="67131921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B061E" w:rsidRPr="0087075A" w14:paraId="5730420A" w14:textId="77777777" w:rsidTr="007E3449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148" w:type="dxa"/>
                      <w:trHeight w:val="684"/>
                    </w:trPr>
                    <w:tc>
                      <w:tcPr>
                        <w:tcW w:w="10378" w:type="dxa"/>
                        <w:gridSpan w:val="7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4394F28D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  <w:t xml:space="preserve">Uwaga: </w:t>
                        </w:r>
                      </w:p>
                      <w:p w14:paraId="4429D3D4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  <w:t>1. W ramach wyszczególnionych w ww. kosztorysie prac należy wykonać również:</w:t>
                        </w:r>
                      </w:p>
                      <w:p w14:paraId="13B0463B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  <w:t>- wszelkie prace pomocnicze, tymczasowe i towarzyszące, które są konieczne do prawidłowego wykonania przez Wykonawcę usług ujętych w kosztorysie ofertowym, w tym prace pomocnicze, tymczasowe i towarzyszące wynikające ze specyfikacji technicznej;</w:t>
                        </w:r>
                      </w:p>
                      <w:p w14:paraId="6C831395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  <w:t>- wszelkie inne prace, czynności, badania (laboratoryjne), obowiązki i wymogi wynikające ze specyfikacji istotnych warunków zamówienia (umowy, specyfikacji technicznej, kosztorysu ofertowego).</w:t>
                        </w:r>
                      </w:p>
                      <w:p w14:paraId="7B932646" w14:textId="77777777" w:rsidR="00DB061E" w:rsidRPr="0087075A" w:rsidRDefault="00DB061E" w:rsidP="00DB061E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</w:pPr>
                        <w:r w:rsidRPr="0087075A"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</w:rPr>
                          <w:t>2. W przypadku składania oferty przez Wykonawców występujących wspólnie, kosztorys ofertowy  winien być podpisany przez pełnomocnika.</w:t>
                        </w:r>
                      </w:p>
                    </w:tc>
                  </w:tr>
                </w:tbl>
                <w:p w14:paraId="0F9146D2" w14:textId="7BD995D9" w:rsidR="00647330" w:rsidRPr="00886E41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3C6E4B9" w14:textId="77777777" w:rsidR="00647330" w:rsidRPr="007D3167" w:rsidRDefault="00647330" w:rsidP="00647330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47330" w:rsidRPr="00E37F70" w14:paraId="081590AB" w14:textId="77777777" w:rsidTr="004E3C31">
        <w:trPr>
          <w:trHeight w:val="425"/>
        </w:trPr>
        <w:tc>
          <w:tcPr>
            <w:tcW w:w="10916" w:type="dxa"/>
            <w:gridSpan w:val="2"/>
          </w:tcPr>
          <w:p w14:paraId="293D5BF9" w14:textId="77777777" w:rsidR="00647330" w:rsidRPr="009F4795" w:rsidRDefault="00647330" w:rsidP="00077171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1FE1841" w14:textId="77777777" w:rsidR="00647330" w:rsidRPr="00642B7A" w:rsidRDefault="00647330" w:rsidP="00077171">
            <w:pPr>
              <w:numPr>
                <w:ilvl w:val="0"/>
                <w:numId w:val="43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BF54350" w14:textId="77777777" w:rsidR="00647330" w:rsidRPr="00642B7A" w:rsidRDefault="00647330" w:rsidP="00077171">
            <w:pPr>
              <w:numPr>
                <w:ilvl w:val="0"/>
                <w:numId w:val="43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B243BC4" w14:textId="77777777" w:rsidR="00647330" w:rsidRPr="001E6C7C" w:rsidRDefault="00647330" w:rsidP="00647330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47330" w:rsidRPr="00E37F70" w14:paraId="359A7E34" w14:textId="77777777" w:rsidTr="004E3C31">
        <w:trPr>
          <w:trHeight w:val="1980"/>
        </w:trPr>
        <w:tc>
          <w:tcPr>
            <w:tcW w:w="10916" w:type="dxa"/>
            <w:gridSpan w:val="2"/>
          </w:tcPr>
          <w:p w14:paraId="3E5BA805" w14:textId="77777777" w:rsidR="00647330" w:rsidRPr="00A54958" w:rsidRDefault="00647330" w:rsidP="00077171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5D498E9F" w14:textId="77777777" w:rsidR="00647330" w:rsidRPr="00A54958" w:rsidRDefault="00647330" w:rsidP="00647330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69F15C8D" w14:textId="77777777" w:rsidR="00647330" w:rsidRPr="009F4795" w:rsidRDefault="00647330" w:rsidP="00077171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6B78718D" w14:textId="77777777" w:rsidR="00647330" w:rsidRPr="005626D2" w:rsidRDefault="00647330" w:rsidP="00647330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06A91062" w14:textId="77777777" w:rsidR="00647330" w:rsidRPr="00117BBF" w:rsidRDefault="00647330" w:rsidP="00077171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1EE63148" w14:textId="77777777" w:rsidR="00647330" w:rsidRPr="00117BBF" w:rsidRDefault="00647330" w:rsidP="00077171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7FFD5B0A" w14:textId="77777777" w:rsidR="00647330" w:rsidRPr="009F4795" w:rsidRDefault="00647330" w:rsidP="00077171">
            <w:pPr>
              <w:numPr>
                <w:ilvl w:val="0"/>
                <w:numId w:val="44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47330" w:rsidRPr="00E37F70" w14:paraId="52DABFCE" w14:textId="77777777" w:rsidTr="004E3C31">
        <w:trPr>
          <w:trHeight w:val="280"/>
        </w:trPr>
        <w:tc>
          <w:tcPr>
            <w:tcW w:w="10916" w:type="dxa"/>
            <w:gridSpan w:val="2"/>
          </w:tcPr>
          <w:p w14:paraId="02E85634" w14:textId="77777777" w:rsidR="00647330" w:rsidRPr="005D476E" w:rsidRDefault="00647330" w:rsidP="00077171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263FBD0B" w14:textId="77777777" w:rsidR="00647330" w:rsidRPr="005D476E" w:rsidRDefault="00647330" w:rsidP="00077171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764412A8" w14:textId="77777777" w:rsidR="00647330" w:rsidRPr="005D476E" w:rsidRDefault="00647330" w:rsidP="00077171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2C8CA8B3" w14:textId="77777777" w:rsidR="00647330" w:rsidRPr="005D476E" w:rsidRDefault="00647330" w:rsidP="00077171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2B30A3A2" w14:textId="77777777" w:rsidR="00647330" w:rsidRPr="005D476E" w:rsidRDefault="00647330" w:rsidP="00077171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04025812" w14:textId="77777777" w:rsidR="00647330" w:rsidRPr="005D476E" w:rsidRDefault="00647330" w:rsidP="00077171">
            <w:pPr>
              <w:pStyle w:val="Akapitzlist"/>
              <w:numPr>
                <w:ilvl w:val="0"/>
                <w:numId w:val="47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68F95253" w14:textId="77777777" w:rsidR="00647330" w:rsidRPr="009F4795" w:rsidRDefault="00647330" w:rsidP="00077171">
            <w:pPr>
              <w:pStyle w:val="Akapitzlist"/>
              <w:numPr>
                <w:ilvl w:val="0"/>
                <w:numId w:val="45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3FD8254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21BCB12" w14:textId="77777777" w:rsidR="00647330" w:rsidRPr="009F4795" w:rsidRDefault="00647330" w:rsidP="00077171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A520C" w14:textId="77777777" w:rsidR="00647330" w:rsidRPr="009F4795" w:rsidRDefault="00647330" w:rsidP="00077171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13A6E66" w14:textId="77777777" w:rsidR="00647330" w:rsidRPr="009F4795" w:rsidRDefault="00647330" w:rsidP="00077171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AA294D" w14:textId="77777777" w:rsidR="00647330" w:rsidRPr="009F4795" w:rsidRDefault="00647330" w:rsidP="00077171">
            <w:pPr>
              <w:numPr>
                <w:ilvl w:val="0"/>
                <w:numId w:val="4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FFF5E8B" w14:textId="77777777" w:rsidR="00647330" w:rsidRPr="009F4795" w:rsidRDefault="00647330" w:rsidP="00647330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47330" w:rsidRPr="009F4795" w14:paraId="70E21454" w14:textId="77777777" w:rsidTr="004E3C31">
        <w:trPr>
          <w:trHeight w:val="1319"/>
        </w:trPr>
        <w:tc>
          <w:tcPr>
            <w:tcW w:w="5246" w:type="dxa"/>
            <w:vAlign w:val="bottom"/>
          </w:tcPr>
          <w:p w14:paraId="2CFD1C5A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14:paraId="05356C5C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6D8AB9B8" w14:textId="77777777" w:rsidR="00647330" w:rsidRPr="009F4795" w:rsidRDefault="00647330" w:rsidP="00647330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7E03BFC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C32DA45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35EC575E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6E083DF" w14:textId="77777777" w:rsidR="00647330" w:rsidRDefault="00647330" w:rsidP="004E3C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E2FC9DF" w14:textId="2FF09344" w:rsidR="00647330" w:rsidRDefault="00647330" w:rsidP="004E3C31">
      <w:pPr>
        <w:pStyle w:val="NormalnyWeb"/>
        <w:spacing w:line="276" w:lineRule="auto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647330" w:rsidSect="0092487D">
      <w:footerReference w:type="default" r:id="rId8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118B" w14:textId="77777777" w:rsidR="005D72A4" w:rsidRDefault="005D72A4">
      <w:r>
        <w:separator/>
      </w:r>
    </w:p>
  </w:endnote>
  <w:endnote w:type="continuationSeparator" w:id="0">
    <w:p w14:paraId="59343253" w14:textId="77777777" w:rsidR="005D72A4" w:rsidRDefault="005D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7E3449" w:rsidRPr="00F1652C" w:rsidRDefault="007E3449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37BF" w14:textId="77777777" w:rsidR="005D72A4" w:rsidRDefault="005D72A4">
      <w:r>
        <w:separator/>
      </w:r>
    </w:p>
  </w:footnote>
  <w:footnote w:type="continuationSeparator" w:id="0">
    <w:p w14:paraId="2700263A" w14:textId="77777777" w:rsidR="005D72A4" w:rsidRDefault="005D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C37101"/>
    <w:multiLevelType w:val="hybridMultilevel"/>
    <w:tmpl w:val="2BB6352C"/>
    <w:lvl w:ilvl="0" w:tplc="AC7CAA2E">
      <w:start w:val="4"/>
      <w:numFmt w:val="bullet"/>
      <w:lvlText w:val="–"/>
      <w:lvlJc w:val="left"/>
      <w:pPr>
        <w:ind w:left="149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8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2C3703F3"/>
    <w:multiLevelType w:val="hybridMultilevel"/>
    <w:tmpl w:val="734E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D02591"/>
    <w:multiLevelType w:val="hybridMultilevel"/>
    <w:tmpl w:val="EC2E41F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9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8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9" w15:restartNumberingAfterBreak="0">
    <w:nsid w:val="6F94526B"/>
    <w:multiLevelType w:val="hybridMultilevel"/>
    <w:tmpl w:val="1DC0B818"/>
    <w:lvl w:ilvl="0" w:tplc="AC7CAA2E">
      <w:start w:val="4"/>
      <w:numFmt w:val="bullet"/>
      <w:lvlText w:val="–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854E70"/>
    <w:multiLevelType w:val="multilevel"/>
    <w:tmpl w:val="AEBC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0"/>
  </w:num>
  <w:num w:numId="2">
    <w:abstractNumId w:val="42"/>
  </w:num>
  <w:num w:numId="3">
    <w:abstractNumId w:val="2"/>
  </w:num>
  <w:num w:numId="4">
    <w:abstractNumId w:val="1"/>
  </w:num>
  <w:num w:numId="5">
    <w:abstractNumId w:val="0"/>
  </w:num>
  <w:num w:numId="6">
    <w:abstractNumId w:val="57"/>
  </w:num>
  <w:num w:numId="7">
    <w:abstractNumId w:val="18"/>
  </w:num>
  <w:num w:numId="8">
    <w:abstractNumId w:val="21"/>
  </w:num>
  <w:num w:numId="9">
    <w:abstractNumId w:val="20"/>
  </w:num>
  <w:num w:numId="10">
    <w:abstractNumId w:val="28"/>
  </w:num>
  <w:num w:numId="11">
    <w:abstractNumId w:val="31"/>
  </w:num>
  <w:num w:numId="12">
    <w:abstractNumId w:val="50"/>
  </w:num>
  <w:num w:numId="13">
    <w:abstractNumId w:val="32"/>
  </w:num>
  <w:num w:numId="14">
    <w:abstractNumId w:val="40"/>
  </w:num>
  <w:num w:numId="15">
    <w:abstractNumId w:val="19"/>
  </w:num>
  <w:num w:numId="16">
    <w:abstractNumId w:val="38"/>
  </w:num>
  <w:num w:numId="17">
    <w:abstractNumId w:val="55"/>
  </w:num>
  <w:num w:numId="18">
    <w:abstractNumId w:val="49"/>
  </w:num>
  <w:num w:numId="19">
    <w:abstractNumId w:val="43"/>
  </w:num>
  <w:num w:numId="20">
    <w:abstractNumId w:val="46"/>
  </w:num>
  <w:num w:numId="21">
    <w:abstractNumId w:val="54"/>
  </w:num>
  <w:num w:numId="22">
    <w:abstractNumId w:val="33"/>
  </w:num>
  <w:num w:numId="23">
    <w:abstractNumId w:val="44"/>
  </w:num>
  <w:num w:numId="24">
    <w:abstractNumId w:val="51"/>
    <w:lvlOverride w:ilvl="0">
      <w:startOverride w:val="1"/>
    </w:lvlOverride>
  </w:num>
  <w:num w:numId="25">
    <w:abstractNumId w:val="41"/>
    <w:lvlOverride w:ilvl="0">
      <w:startOverride w:val="1"/>
    </w:lvlOverride>
  </w:num>
  <w:num w:numId="26">
    <w:abstractNumId w:val="29"/>
  </w:num>
  <w:num w:numId="27">
    <w:abstractNumId w:val="8"/>
  </w:num>
  <w:num w:numId="28">
    <w:abstractNumId w:val="53"/>
  </w:num>
  <w:num w:numId="29">
    <w:abstractNumId w:val="37"/>
  </w:num>
  <w:num w:numId="30">
    <w:abstractNumId w:val="27"/>
  </w:num>
  <w:num w:numId="31">
    <w:abstractNumId w:val="58"/>
  </w:num>
  <w:num w:numId="32">
    <w:abstractNumId w:val="39"/>
  </w:num>
  <w:num w:numId="33">
    <w:abstractNumId w:val="30"/>
  </w:num>
  <w:num w:numId="34">
    <w:abstractNumId w:val="62"/>
  </w:num>
  <w:num w:numId="35">
    <w:abstractNumId w:val="63"/>
  </w:num>
  <w:num w:numId="36">
    <w:abstractNumId w:val="45"/>
  </w:num>
  <w:num w:numId="37">
    <w:abstractNumId w:val="6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56"/>
  </w:num>
  <w:num w:numId="44">
    <w:abstractNumId w:val="26"/>
  </w:num>
  <w:num w:numId="45">
    <w:abstractNumId w:val="25"/>
  </w:num>
  <w:num w:numId="46">
    <w:abstractNumId w:val="47"/>
  </w:num>
  <w:num w:numId="47">
    <w:abstractNumId w:val="52"/>
  </w:num>
  <w:num w:numId="48">
    <w:abstractNumId w:val="24"/>
  </w:num>
  <w:num w:numId="49">
    <w:abstractNumId w:val="34"/>
  </w:num>
  <w:num w:numId="50">
    <w:abstractNumId w:val="36"/>
  </w:num>
  <w:num w:numId="51">
    <w:abstractNumId w:val="23"/>
  </w:num>
  <w:num w:numId="52">
    <w:abstractNumId w:val="59"/>
  </w:num>
  <w:num w:numId="53">
    <w:abstractNumId w:val="22"/>
  </w:num>
  <w:num w:numId="54">
    <w:abstractNumId w:val="16"/>
  </w:num>
  <w:num w:numId="55">
    <w:abstractNumId w:val="6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04097"/>
    <w:rsid w:val="0001298A"/>
    <w:rsid w:val="00012D83"/>
    <w:rsid w:val="000130F9"/>
    <w:rsid w:val="000156DD"/>
    <w:rsid w:val="00017A86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1534"/>
    <w:rsid w:val="00072739"/>
    <w:rsid w:val="000731B6"/>
    <w:rsid w:val="00075591"/>
    <w:rsid w:val="0007717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231A"/>
    <w:rsid w:val="000C2A94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16CF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32F1"/>
    <w:rsid w:val="0016517E"/>
    <w:rsid w:val="00172824"/>
    <w:rsid w:val="001757C0"/>
    <w:rsid w:val="00181B59"/>
    <w:rsid w:val="0018757C"/>
    <w:rsid w:val="00196740"/>
    <w:rsid w:val="00197571"/>
    <w:rsid w:val="001A1E1D"/>
    <w:rsid w:val="001A1EEE"/>
    <w:rsid w:val="001A35B7"/>
    <w:rsid w:val="001A3C81"/>
    <w:rsid w:val="001A4B5F"/>
    <w:rsid w:val="001A5259"/>
    <w:rsid w:val="001A5758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2F68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088"/>
    <w:rsid w:val="00236D49"/>
    <w:rsid w:val="0024116D"/>
    <w:rsid w:val="002428E3"/>
    <w:rsid w:val="00245302"/>
    <w:rsid w:val="00245B23"/>
    <w:rsid w:val="002501C2"/>
    <w:rsid w:val="00250E0E"/>
    <w:rsid w:val="0025286B"/>
    <w:rsid w:val="00256754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211C9"/>
    <w:rsid w:val="00322343"/>
    <w:rsid w:val="00325B3B"/>
    <w:rsid w:val="00330C27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0CED"/>
    <w:rsid w:val="003F387B"/>
    <w:rsid w:val="003F7183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355B"/>
    <w:rsid w:val="0043752D"/>
    <w:rsid w:val="00441F27"/>
    <w:rsid w:val="00444056"/>
    <w:rsid w:val="0044512B"/>
    <w:rsid w:val="00451FF1"/>
    <w:rsid w:val="00452F85"/>
    <w:rsid w:val="00453A0B"/>
    <w:rsid w:val="004544CD"/>
    <w:rsid w:val="00454A8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A5991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3C31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6FCE"/>
    <w:rsid w:val="00551C4F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2A4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4F6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47330"/>
    <w:rsid w:val="00650FCE"/>
    <w:rsid w:val="00651E6F"/>
    <w:rsid w:val="006544B1"/>
    <w:rsid w:val="00655955"/>
    <w:rsid w:val="006563D0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2328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1BE7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2DD9"/>
    <w:rsid w:val="006D3698"/>
    <w:rsid w:val="006D5EEE"/>
    <w:rsid w:val="006E0C73"/>
    <w:rsid w:val="006E3805"/>
    <w:rsid w:val="006E4930"/>
    <w:rsid w:val="006E540E"/>
    <w:rsid w:val="006E5782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2757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B733F"/>
    <w:rsid w:val="007C1427"/>
    <w:rsid w:val="007C14FA"/>
    <w:rsid w:val="007C1B3B"/>
    <w:rsid w:val="007D0C35"/>
    <w:rsid w:val="007D3E04"/>
    <w:rsid w:val="007D5A18"/>
    <w:rsid w:val="007D5AE1"/>
    <w:rsid w:val="007D7947"/>
    <w:rsid w:val="007E1A03"/>
    <w:rsid w:val="007E3449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51D9"/>
    <w:rsid w:val="008357BA"/>
    <w:rsid w:val="00836921"/>
    <w:rsid w:val="00840D71"/>
    <w:rsid w:val="00844417"/>
    <w:rsid w:val="008449FE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075A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121D"/>
    <w:rsid w:val="008C581E"/>
    <w:rsid w:val="008C6170"/>
    <w:rsid w:val="008C7640"/>
    <w:rsid w:val="008D2A5A"/>
    <w:rsid w:val="008D498E"/>
    <w:rsid w:val="008E03FA"/>
    <w:rsid w:val="008E36DC"/>
    <w:rsid w:val="008E48E8"/>
    <w:rsid w:val="008E7492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2AA9"/>
    <w:rsid w:val="009743BC"/>
    <w:rsid w:val="00980998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426B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06B4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34DA"/>
    <w:rsid w:val="00AF469F"/>
    <w:rsid w:val="00AF5D4E"/>
    <w:rsid w:val="00B000B7"/>
    <w:rsid w:val="00B011C3"/>
    <w:rsid w:val="00B01394"/>
    <w:rsid w:val="00B01BA4"/>
    <w:rsid w:val="00B111C9"/>
    <w:rsid w:val="00B142C0"/>
    <w:rsid w:val="00B15222"/>
    <w:rsid w:val="00B169EE"/>
    <w:rsid w:val="00B2217B"/>
    <w:rsid w:val="00B22A90"/>
    <w:rsid w:val="00B235A1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8F"/>
    <w:rsid w:val="00BD60F7"/>
    <w:rsid w:val="00BD7A3C"/>
    <w:rsid w:val="00BE05CE"/>
    <w:rsid w:val="00BE51CC"/>
    <w:rsid w:val="00BF1799"/>
    <w:rsid w:val="00BF221E"/>
    <w:rsid w:val="00BF6733"/>
    <w:rsid w:val="00BF69D6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280A"/>
    <w:rsid w:val="00C230DA"/>
    <w:rsid w:val="00C23AE0"/>
    <w:rsid w:val="00C315D4"/>
    <w:rsid w:val="00C401B7"/>
    <w:rsid w:val="00C401D6"/>
    <w:rsid w:val="00C4026F"/>
    <w:rsid w:val="00C40D21"/>
    <w:rsid w:val="00C43502"/>
    <w:rsid w:val="00C45AF8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83118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44285"/>
    <w:rsid w:val="00D46741"/>
    <w:rsid w:val="00D46C89"/>
    <w:rsid w:val="00D50BE8"/>
    <w:rsid w:val="00D53AE8"/>
    <w:rsid w:val="00D54CB9"/>
    <w:rsid w:val="00D556C6"/>
    <w:rsid w:val="00D5626A"/>
    <w:rsid w:val="00D56D6C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061E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F3869"/>
    <w:rsid w:val="00DF3B22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2B31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09B6"/>
    <w:rsid w:val="00E753DA"/>
    <w:rsid w:val="00E768B9"/>
    <w:rsid w:val="00E777C6"/>
    <w:rsid w:val="00E82C2B"/>
    <w:rsid w:val="00E869CD"/>
    <w:rsid w:val="00E86DB3"/>
    <w:rsid w:val="00E90E66"/>
    <w:rsid w:val="00E939C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3A8"/>
    <w:rsid w:val="00F073FB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1648"/>
    <w:rsid w:val="00F62534"/>
    <w:rsid w:val="00F625A7"/>
    <w:rsid w:val="00F627A7"/>
    <w:rsid w:val="00F672FF"/>
    <w:rsid w:val="00F705E2"/>
    <w:rsid w:val="00F7088B"/>
    <w:rsid w:val="00F7689B"/>
    <w:rsid w:val="00F8274D"/>
    <w:rsid w:val="00F87279"/>
    <w:rsid w:val="00F878CB"/>
    <w:rsid w:val="00F87E0C"/>
    <w:rsid w:val="00F90BE8"/>
    <w:rsid w:val="00F93B78"/>
    <w:rsid w:val="00F93CDC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C7573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2230</Words>
  <Characters>13382</Characters>
  <Application>Microsoft Office Word</Application>
  <DocSecurity>4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2</cp:revision>
  <cp:lastPrinted>2020-11-26T10:51:00Z</cp:lastPrinted>
  <dcterms:created xsi:type="dcterms:W3CDTF">2020-12-03T13:23:00Z</dcterms:created>
  <dcterms:modified xsi:type="dcterms:W3CDTF">2020-12-03T13:23:00Z</dcterms:modified>
</cp:coreProperties>
</file>