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388E532E" w14:textId="77777777" w:rsidR="00DB061E" w:rsidRPr="00DB061E" w:rsidRDefault="00DB061E" w:rsidP="00DB061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B061E">
              <w:rPr>
                <w:rFonts w:ascii="Calibri" w:hAnsi="Calibri" w:cs="Segoe UI"/>
                <w:b/>
                <w:color w:val="000000"/>
              </w:rPr>
              <w:t>„Konserwacja oświetlenia ulicznego na terenie miasta Zduńska Wola w 2021 r.”</w:t>
            </w:r>
          </w:p>
          <w:p w14:paraId="4D38A430" w14:textId="4719E4A7" w:rsidR="00647330" w:rsidRPr="00127EE1" w:rsidRDefault="00DB061E" w:rsidP="00DB061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B061E">
              <w:rPr>
                <w:rFonts w:ascii="Calibri" w:hAnsi="Calibri" w:cs="Segoe UI"/>
                <w:b/>
                <w:color w:val="000000"/>
              </w:rPr>
              <w:t>nr sprawy: IT.271.81.2020.KP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A71D97E" w14:textId="77777777" w:rsidR="00DB061E" w:rsidRPr="00DB061E" w:rsidRDefault="00DB061E" w:rsidP="00DB061E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B061E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„Konserwacja oświetlenia ulicznego na terenie miasta Zduńska Wola w 2021 r.”</w:t>
            </w:r>
          </w:p>
          <w:p w14:paraId="1058874F" w14:textId="77777777" w:rsidR="00DB061E" w:rsidRDefault="00DB061E" w:rsidP="00DB061E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B061E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IT.271.81.2020.KP</w:t>
            </w:r>
          </w:p>
          <w:p w14:paraId="4E4AE60B" w14:textId="35D3906D" w:rsidR="00647330" w:rsidRPr="000D549B" w:rsidRDefault="00647330" w:rsidP="00DB061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077171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718F308C" w14:textId="4EAEF1E7" w:rsidR="004E3C31" w:rsidRDefault="004E3C31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tbl>
                  <w:tblPr>
                    <w:tblW w:w="1052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"/>
                    <w:gridCol w:w="5304"/>
                    <w:gridCol w:w="1134"/>
                    <w:gridCol w:w="1134"/>
                    <w:gridCol w:w="419"/>
                    <w:gridCol w:w="574"/>
                    <w:gridCol w:w="1269"/>
                    <w:gridCol w:w="148"/>
                  </w:tblGrid>
                  <w:tr w:rsidR="00DB061E" w:rsidRPr="0087075A" w14:paraId="57D137B9" w14:textId="77777777" w:rsidTr="007E3449">
                    <w:trPr>
                      <w:trHeight w:val="1305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F85077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33A93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Opis pozycji kosztorysowej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EE8CF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Nazwa jednostki obmiarowej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A3141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Ilość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br/>
                          <w:t>jednostek obmiarowych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464B7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cena jedn. obmiarowa brutto [zł]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CAB69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Razem cena </w:t>
                        </w:r>
                      </w:p>
                      <w:p w14:paraId="32CB202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(kol. 4x5)</w:t>
                        </w:r>
                      </w:p>
                      <w:p w14:paraId="359CB4C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(w zł brutto)</w:t>
                        </w:r>
                      </w:p>
                    </w:tc>
                  </w:tr>
                  <w:tr w:rsidR="00DB061E" w:rsidRPr="0087075A" w14:paraId="7DD8140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539BD6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8E1C3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DE0C2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860737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CFC64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5C6C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DB061E" w:rsidRPr="0087075A" w14:paraId="53C8A7C1" w14:textId="77777777" w:rsidTr="007E3449">
                    <w:trPr>
                      <w:trHeight w:val="398"/>
                    </w:trPr>
                    <w:tc>
                      <w:tcPr>
                        <w:tcW w:w="105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85A99C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Konserwacja oświetlenia ulicznego za okres 12 miesięcy</w:t>
                        </w:r>
                      </w:p>
                    </w:tc>
                  </w:tr>
                  <w:tr w:rsidR="0087075A" w:rsidRPr="0087075A" w14:paraId="1FDAFDB2" w14:textId="77777777" w:rsidTr="007E3449">
                    <w:trPr>
                      <w:trHeight w:val="39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D8680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1C01B4" w14:textId="6573D3C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"Wymiana źródeł światła opraw sodowych 250 - 400 W. Obejmuje również: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D7A2777" w14:textId="629D23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248C83D" w14:textId="386618A8" w:rsidR="0087075A" w:rsidRPr="0087075A" w:rsidRDefault="00F073FB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3694F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E9D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D194F09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35B9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1CF2F0" w14:textId="278F59B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- utylizację zużytej lampy, czyszczenie klosza i odbłyśnika oprawy"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FA0C78A" w14:textId="423432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613D79E" w14:textId="54D026A3" w:rsidR="0087075A" w:rsidRPr="0087075A" w:rsidRDefault="00F073FB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43A41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FBAC9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D519C38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F9E3D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A755BA" w14:textId="4170DF8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"Wymiana źródeł światła opraw sodowych 150 W. Obejmuje również: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5907C23" w14:textId="172644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2F73410" w14:textId="3317F88B" w:rsidR="0087075A" w:rsidRPr="0087075A" w:rsidRDefault="00F073FB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9532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BEB5C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CE5F126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E2D7E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817E4D" w14:textId="0125BE5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kompletnych opraw drogowych typu LED w zakresie mocy poniżej 40 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5D73174" w14:textId="5BC6332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B91150C" w14:textId="3D9374C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E122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3815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E6004F3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61131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268D2E" w14:textId="20042C2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kompletnych opraw drogowych typu LED w zakresie mocy powyżej 50 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9031B84" w14:textId="2E73583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7436FE4" w14:textId="6DC3EA4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286EF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3604B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64C4B4A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4AAACA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AE5C5C" w14:textId="5B1DD8F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/ Montaż kompletnych drogowych opraw sodowych 70 - 150W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19F928" w14:textId="68BFC79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D785529" w14:textId="65F338D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3C67F9B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7BE474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075A" w:rsidRPr="0087075A" w14:paraId="6196883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F1049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48E85F" w14:textId="36517B4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oprawy wraz z demontażem starej, na słupie linii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lub kablowej na istniejącym wysięgniku (oprawa Zamawiającego)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C07591A" w14:textId="082974E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0F23D6B" w14:textId="1A06D20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B1F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875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D01ADF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484C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96246D" w14:textId="6EF25EB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oprawy Zamawiającego na słupie linii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wraz z nowym wysięgnikiem 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(tzw. Dowieszenie)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4003F8B" w14:textId="0E40AF5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8927815" w14:textId="046610B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15AD7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DC2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973C7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7B0C8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D9627" w14:textId="3DEBCE2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Demontaż oprawy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B962597" w14:textId="688875D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A2D0060" w14:textId="3F67D45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7439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D70F5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72CBD9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9DB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E8BA48" w14:textId="7E749A3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Malowanie latarni stalowych do wysokości 8m jednokrotnie (farba do powierzchni metalowych w kolorze wybranym przez Zamawiającego),  zabezpieczenie farbą podstawy  wraz z materiałem. Farba zapewniająca ochronę przed korozją na poziomie 6-8 lat.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E3F63EE" w14:textId="2598475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0E95A09" w14:textId="4C8414E4" w:rsidR="0087075A" w:rsidRPr="0087075A" w:rsidRDefault="00F073FB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2FC41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818DE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636C6B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71A7E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421B16" w14:textId="5A4E5899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stateczników w oprawach oświetleniowych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415E540" w14:textId="0F13342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7087BF3" w14:textId="2628D63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7FFD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6F41A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78487E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7217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FE311E" w14:textId="0AA9CD3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układów zapłonowych opraw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7AF5565" w14:textId="7F2D136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C6BC329" w14:textId="55BB941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AA99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B94B2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251BD5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5DC0D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BBECD9" w14:textId="4D67E65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oprawek do lamp sodowych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179F428" w14:textId="253FC12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E988CA0" w14:textId="30E960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57DE1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F118C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1B1533E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D90A5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6FA399" w14:textId="25FC8D9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Mycie kloszy opraw parkowych i ulicznych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6E3EA30" w14:textId="5BA002C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09C29D4" w14:textId="15BFA0E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FD5D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ECFCF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E6B39B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D33E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07F716" w14:textId="64D1C37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ocynkowanego w zieleńcu bądź chodniku o wysokości do 9m wraz z fundamentem prefabrykowanym  (wraz z wyposażeniem wnęki, podłączeniem kabli, wysięgnikiem do kompletu,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, demontażem starej latarni, transportem)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D9EFF07" w14:textId="6B78EAC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7AA8915" w14:textId="62BDC1E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59C6C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2C1D4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5604602" w14:textId="77777777" w:rsidTr="007E3449">
                    <w:trPr>
                      <w:trHeight w:val="78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91883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24111B" w14:textId="03BD2844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ocynkowanego w zieleńcu bądź chodniku o wysokości do 11 m wraz z fundamentem prefabrykowanym  (wraz z wyposażeniem wnęki, podłączeniem kabli, wysięgnikiem do kompletu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, demontażem starej latarni, transportem)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6B11232" w14:textId="2C78E7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213FCC1" w14:textId="5835BB0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D443D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3C67A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8850F70" w14:textId="77777777" w:rsidTr="007E3449">
                    <w:trPr>
                      <w:trHeight w:val="70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6A8F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063988" w14:textId="639174E1" w:rsidR="0087075A" w:rsidRPr="0087075A" w:rsidRDefault="006E5782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słupa oświetleniowego aluminiowego anodowanego w zieleńcu (Aleje Kościuszki) o wysokości 6 m wraz z fundamentem prefabrykowanym  (wraz z wyposażeniem wnęki, podłączeniem kabli, wysięgnikiem do kompletu, </w:t>
                        </w:r>
                        <w:proofErr w:type="spellStart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, montażem gniazda, demontażem starej latarni, transportem). </w:t>
                        </w:r>
                        <w:r w:rsidR="00071534"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Wysięgnik</w:t>
                        </w:r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musi być przygotowany pod oprawę </w:t>
                        </w:r>
                        <w:proofErr w:type="spellStart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schreder</w:t>
                        </w:r>
                        <w:proofErr w:type="spellEnd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albana</w:t>
                        </w:r>
                        <w:proofErr w:type="spellEnd"/>
                        <w:r w:rsidRP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 Planowany termin montażu słupów do 12.02.2021 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1D9E17D" w14:textId="3C1E4A3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EAC2C09" w14:textId="43F77B4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  <w:r w:rsidR="006E5782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2234E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536CE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11B55D3" w14:textId="77777777" w:rsidTr="007E3449">
                    <w:trPr>
                      <w:trHeight w:val="612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AE26C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11CFF8" w14:textId="464EB22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Zmiana miejsca posadowienia słupa oświetlenia ulicznego (max 10m) wraz z przedłużeniem kabli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6441BA" w14:textId="4B5E839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23A2DDF" w14:textId="74E094E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FEB1C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F723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4C83461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B860B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</w:tcPr>
                      <w:p w14:paraId="5C61FC07" w14:textId="1894BD11" w:rsidR="0087075A" w:rsidRPr="0087075A" w:rsidRDefault="0087075A" w:rsidP="0087075A">
                        <w:pPr>
                          <w:jc w:val="both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i podpięcie wyrwanych przewodów we wnękach słupowych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0E8C4F" w14:textId="70513A7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7297E86" w14:textId="17AC25B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E7D3F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C6D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269B43F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8E3F5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21A044" w14:textId="1D25E40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/ montaż wysięgnika zwykłego jednoramiennego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0DFD4A" w14:textId="5BFC10C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BBAB647" w14:textId="391A732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FBD0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46DE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9F4B1A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34D9F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9A7C9E" w14:textId="51A8E85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istniejących wysięgników jednoramiennych na dwuramienne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ABB9D4" w14:textId="2D3E233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604BA60" w14:textId="7CBC532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6EF6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E7F02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4B4B516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512BF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106EB6" w14:textId="5CB8273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izolacyjnych złączy słupowych (zabudowa złączy typu IZK)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73F6CA" w14:textId="70C6CB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CCF5F79" w14:textId="611C161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8E98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85BD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831807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3E5A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DD4D1F" w14:textId="1FC46B0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przewodów w słupach YKY 3 x 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3E46CDE" w14:textId="112D37D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D312283" w14:textId="6B89030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05FF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2EE5C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613111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1972F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5D9BD2" w14:textId="4D4AB86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Montaż na słupie oświetleniowym gniazda 230V IP55 wraz z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oprzewodowaniem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zabezpieczeniem C10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F2F9271" w14:textId="0D158C6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F11DA03" w14:textId="5D8A666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E55A5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C881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D46D6E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83C34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E824F0" w14:textId="5EA9BDF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osłon wnęk słupowych wraz z opaską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DDDB500" w14:textId="70F2001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D75821C" w14:textId="70EDF50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0D667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05AC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5780503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EA71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4D1B76" w14:textId="30E8AD8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Pionowanie słupów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D234C3E" w14:textId="1318BE9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E30C037" w14:textId="4A6626A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4AC1B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F66B1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90BC5F7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6516E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2BD14A" w14:textId="6954F75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Poprawa ustawienia wysięgników i opraw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108E104" w14:textId="6227933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CAD4E31" w14:textId="6411A19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9D6B5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AE1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628D39F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B6952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850643" w14:textId="343257B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Lokalizacja miejsca uszkodzenia kabla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04DECF0" w14:textId="35C5EA8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887A0A8" w14:textId="3A347BA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2B356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ACB1A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576DD47F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B67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2499F" w14:textId="0A5AD52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kabli oświetleniowych (wraz z odkopaniem,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mufowaniem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przedłużeniem kabla)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28F208B" w14:textId="4C6E40F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7E04EC9" w14:textId="53C93EF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3B4A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9807B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76CFF7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7DE92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653410" w14:textId="59B0075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linii kablowej oświetleniowej YAKY 4x35 lub 5x45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D8B0F91" w14:textId="12A6421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AE131FF" w14:textId="1270DEE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47FB7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862F4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9E36769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67301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ACB8E6" w14:textId="46BF1DC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linii kablowej YKY 4x25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53E2187" w14:textId="79EDFBF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B9906F1" w14:textId="48447D1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C2FA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AD0D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B4F438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03025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7D52E4" w14:textId="2CE5A28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Odtworzenie nawierzchni chodnika z płyt, kostki betonowej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CE1D0C4" w14:textId="1C10AB5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E12C42B" w14:textId="0680470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FCA51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55A2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44A2C7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DD989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337B79" w14:textId="0097C81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przewodu napowietrznego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ASXSn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2x35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C14A7CD" w14:textId="2C2CC41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F762AF5" w14:textId="0230D52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AB76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3B697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A52098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996F9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5B6FFD" w14:textId="4E67E4F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zacisków prądowej linii napowietrznej izolowanej lub nieizolowanej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FE41F4B" w14:textId="57C4FA6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D9146AD" w14:textId="10CEFF5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51512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A3647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E12A46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43D01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92D29A" w14:textId="7217D7A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zerwanego przewodu napowietrznej linii nieizolowanej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A64C64" w14:textId="23C1305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1CD6822" w14:textId="7025AD4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207E9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A6824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2B9B80C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1F8DA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8A31C9" w14:textId="17B8BDF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przewodu Al linii napowietrznej  o przekroju 16 -50 mm2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1A4B7FF" w14:textId="2FFC4BA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7339286" w14:textId="70764BD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88CCD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27036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FA07CC4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D6582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FFFDE6" w14:textId="6A44FA0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szafy oświetleniowej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DBC2975" w14:textId="7E9B18B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8F6397" w14:textId="6A9C51C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EC7BE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979B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9F009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DF1FA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CCE2934" w14:textId="733879B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uziomu szpilkowego Fe/Zn F 20 mm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C0F7A25" w14:textId="75FB5D6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8CDB781" w14:textId="09F9A94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05B67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4DA1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E56DA6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E76E9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8A4B61" w14:textId="58A3456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gniazd bezpiecznikowych do 63 A w SO (koszt uśredniony)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67AAEBE" w14:textId="1F4F1AB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B8E7515" w14:textId="49DF601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2E7A1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0EF84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489199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04DCB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93F64D" w14:textId="65682DA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wkładek bezpiecznikowych 6 - 32A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5CCD34" w14:textId="4243E4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54390693" w14:textId="2BF7425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E289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27237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8F7660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A7DC5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BD0D0A" w14:textId="68AB2F9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wkładek bezpiecznikowych do 63A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3A9EFDB" w14:textId="70804D5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9637961" w14:textId="47B85D2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34496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F062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B8CA94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112C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DB5EB4" w14:textId="0A4D6CE1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wyłączników nadprądowych 6 - 63A (charakterystyka C lub D)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9CCF5DC" w14:textId="3AF2355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0700C3EE" w14:textId="06DB0D7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92E1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1B18A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380418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4641D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588822" w14:textId="4E2BE8B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wyłączników nadprądowych selektywnych typu Cs 16 - 63A 1f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6B4E94" w14:textId="042A2D4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AB24F85" w14:textId="098CA63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A16D4C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EAB72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5F8734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5DEDD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44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7B4F17" w14:textId="058B821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zabezpieczenia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przedlicznikowego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 na wyłączniki instalacyjne (3x1f) o charakterystyce CS w obudowie przystosowanej do plombowania.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95FF59" w14:textId="4A9D069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6671B293" w14:textId="73D19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DCA8E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8E7F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D43CE5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A74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F5146F" w14:textId="540B268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stycznika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AC3 80 A w szafie oświetleniowej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A1DE45A" w14:textId="30755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77CE3E9D" w14:textId="4B4EBDF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44F8C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08F24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38F4195" w14:textId="77777777" w:rsidTr="007E3449">
                    <w:trPr>
                      <w:trHeight w:val="48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50725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405CE9" w14:textId="46FDA96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zegara sterującego astronomicznego (zegar typu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astroclock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A392B89" w14:textId="654CD1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E481F41" w14:textId="5439531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E3DD7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B360A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5967D7C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D3A7F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DFFA29" w14:textId="0C59191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Regulacja  zegarów sterujących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68CD6BA" w14:textId="76DC5B8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41683A0" w14:textId="36362C0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C453E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D2FF3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68CD543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8CBF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95E5B2" w14:textId="5124F33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usterek aparatury elektrycznej szafy oświetleniowej (koszt uśredniony)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799E07E" w14:textId="5D1D20D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3545FAF2" w14:textId="574477C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B8E01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79CBD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2AB5EC2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DE37F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16DE24" w14:textId="46255AC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Naprawa elementów mechanicznych szafy oświetleniowej (wymiana zacisków, przełączników, wyłączników krańcowych, przewodów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itp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….)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B55073C" w14:textId="1F28839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780361E2" w14:textId="32826B3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CF1A2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2C32F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6FAD26A" w14:textId="77777777" w:rsidTr="007E3449">
                    <w:trPr>
                      <w:trHeight w:val="23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5F011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B95CD9" w14:textId="22174E3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stalowych drzwi szafy oświetleniowej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82B989E" w14:textId="499DCD4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3B8AD08C" w14:textId="5057625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6F5B1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0709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A578B3A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66F1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3DDA9B" w14:textId="73208558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Poprawa i czyszczenie styków w oprawach, złączach słupowych, podstawach bezpiecznikowych, aparaturze łączeniowej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F82EB2" w14:textId="0A0525F5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22439F5" w14:textId="4363684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D036E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D83AE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1B4BC8A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850079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6FD19C" w14:textId="4B04A940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główki bezpiecznikowej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4C93B97" w14:textId="1929785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46FFFB9A" w14:textId="4D1F040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64246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D64F8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5AF0AD6" w14:textId="77777777" w:rsidTr="007E3449"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B1C8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5A7D6F" w14:textId="0CDDD4B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Naprawa połączeń w bezpiecznikach napowietrznych (BNU/BNO)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28ADF9F" w14:textId="2BDB781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14B19781" w14:textId="39E9FEF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0DE0F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7B566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DCB32AE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3F5D8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4D1B3" w14:textId="3537445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Wymiana podstaw bezpieczników napowietrznych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F1D93F2" w14:textId="6603FBA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14:paraId="2CC1958A" w14:textId="60E7510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294E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66CCC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3679EED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41A1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4AFA19" w14:textId="7BFC0844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podstaw bezpiecznikowych PBD1 , PBG00 itp.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69349A" w14:textId="6A96A61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013AF2B" w14:textId="377D771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33D97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98F3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FA32D71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48A6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1C7333" w14:textId="484F598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Wymiana bezpieczników BM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7C5DB9" w14:textId="1DF323C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F242ECB" w14:textId="66DBC41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23D82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7D85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EF61CF9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1305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C68A84" w14:textId="33FB9C27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Zmiana lokalizacji szafy oświetleniowej do 10m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1BCB854" w14:textId="6E8A9B8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FF84835" w14:textId="073B62A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F6DCF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88B78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AC8A725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24F4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673F70" w14:textId="0EF2206B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Wyniesienie istniejącego układu pomiarowo-rozdzielczego do nowej szafki (linia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kablowa)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AF988D3" w14:textId="2EFB81B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202D807" w14:textId="729D20D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26421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C1182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09219E88" w14:textId="77777777" w:rsidTr="007E3449">
                    <w:trPr>
                      <w:trHeight w:val="25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136D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62C960" w14:textId="18D3F57C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Malowanie wysięgników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9D442D6" w14:textId="29AD1FA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5F14F936" w14:textId="2E2F274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A974F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FA0F1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178857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B6B4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E01CAC" w14:textId="632940E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Wykonanie przeglądu technicznego nowych obiektów oświetleniowych przed przyjęciem do eksploatacji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1FB8D910" w14:textId="4D726AF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16C07D8" w14:textId="0A65405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75927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053B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B2E0580" w14:textId="77777777" w:rsidTr="007E3449">
                    <w:trPr>
                      <w:trHeight w:val="28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D63F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55DA64" w14:textId="06CCD69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Opracowanie kosztorysu powykonawczego za naprawę uszkodzonej infrastruktury oświetleniowej (szkody komunikacyjne, dewastacje, kradzieże)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A8029F" w14:textId="3B84EAFE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E7974DE" w14:textId="2A69E77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519BA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38CD6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8CB413E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95C1D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3918E3" w14:textId="633E2E0D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Cięcie techniczne konarów drzew (przy liniach napowietrznych i latarniach) wraz z utylizacją gałęzi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C7C8B83" w14:textId="7ED415E9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przęsło/latarnia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10112A2" w14:textId="4193E29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3495D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5FDE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CD9B8F0" w14:textId="77777777" w:rsidTr="007E3449">
                    <w:trPr>
                      <w:trHeight w:val="405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92C0B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F6FF9E" w14:textId="488F949A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Pomiary elektryczne izolacja, ochrona, uziemienia wraz z opracowaniem i dostarczeniem protokołów z pomiarów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4EB94EE0" w14:textId="6831F9C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/słup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613D898" w14:textId="5B3B393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69044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D6E9F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6E037596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98A8B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8DDABB" w14:textId="4366B17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Pomiary elektryczne izolacja, ochrona, uziemienia wraz z opracowaniem i dostarczeniem protokołów z pomiarów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B0D3F1B" w14:textId="5CD82FF4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kpl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/szafa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063ABC5D" w14:textId="7DA96BB1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58EF3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DCCF2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5DF073A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C2EFB5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72C21A" w14:textId="76B580F6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Doraźna likwidacja zagrożenia od infrastruktury oświetleniowej powstałego na skutek dewastacji, kolizji drogowych i innych zdarzeń losowych do czasu likwidacji szkody, wraz ze sporządzeniem dokumentacji fotograficznej i przekazaniem jej Zamawiającemu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78D46FF" w14:textId="653B727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1E97FAD" w14:textId="663EFBD2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D3DDE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58AE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A1B88F9" w14:textId="77777777" w:rsidTr="007E3449">
                    <w:trPr>
                      <w:trHeight w:val="4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251C34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B7D274" w14:textId="02D24175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kontrola stanu załączenia się i sprawności oświetlenia miasta oraz dokumentowanie, archiwizowanie i przedstawienie Zamawiającemu wykonywanych oględzin w formie protokołu. ilość odnosi się do przeglądu </w:t>
                        </w:r>
                        <w:r w:rsidR="00071534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jednego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z trzech Rejonów: Rejon północny, południowy, 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karsznice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. Ulica Łaska stanowi granicę podziału.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11184A1" w14:textId="6FE31AC3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szt.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81A022F" w14:textId="1B86B03D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D29BE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44DDB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2365F437" w14:textId="77777777" w:rsidTr="0087075A">
                    <w:trPr>
                      <w:trHeight w:val="526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629E10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568AFA" w14:textId="482698C3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Załączenie i wyłączenie zasilania oświetlenia celem nagłośnienia imprez plenerowych / </w:t>
                        </w:r>
                        <w:r w:rsidR="00071534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uroczystości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(w tym w dniach świątecznych)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721E7761" w14:textId="23350698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5D6A712" w14:textId="0EAB530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D4277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FBF153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30996268" w14:textId="77777777" w:rsidTr="0087075A">
                    <w:trPr>
                      <w:trHeight w:val="27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56AD96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D4E1189" w14:textId="545ED2CF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pracownik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7037788" w14:textId="047D898F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B0D702D" w14:textId="3EF3EDAC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954B08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C6632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438F6E2E" w14:textId="77777777" w:rsidTr="0087075A">
                    <w:trPr>
                      <w:trHeight w:val="269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610C3F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11F85E9" w14:textId="6ABD747E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podnośnik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2160F7E4" w14:textId="703ED660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0129ACE" w14:textId="0C95BD5A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C9946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FC6EE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87075A" w:rsidRPr="0087075A" w14:paraId="115DD8B1" w14:textId="77777777" w:rsidTr="007E3449">
                    <w:trPr>
                      <w:trHeight w:val="106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82ACC1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602A6458" w14:textId="679A3BA2" w:rsidR="0087075A" w:rsidRPr="0087075A" w:rsidRDefault="0087075A" w:rsidP="0087075A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samochód ciężarowy do 10 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558641A" w14:textId="3117AFE6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m-g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3B051502" w14:textId="46D16A2B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03C637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D819AD" w14:textId="77777777" w:rsidR="0087075A" w:rsidRPr="0087075A" w:rsidRDefault="0087075A" w:rsidP="0087075A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D1AA08D" w14:textId="77777777" w:rsidTr="007E3449">
                    <w:trPr>
                      <w:trHeight w:val="546"/>
                    </w:trPr>
                    <w:tc>
                      <w:tcPr>
                        <w:tcW w:w="105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B1E13D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Dekoracja świąteczna</w:t>
                        </w:r>
                      </w:p>
                    </w:tc>
                  </w:tr>
                  <w:tr w:rsidR="00DB061E" w:rsidRPr="0087075A" w14:paraId="7C39128C" w14:textId="77777777" w:rsidTr="007E3449">
                    <w:trPr>
                      <w:trHeight w:val="120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E0E53" w14:textId="108D9E9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C85C78" w14:textId="748CB33D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zawieszki na stelażu aluminiowym mocowanej do słupa. Słupy do 8m, wyposażone w gniazda zasilające. Do montażu potrzebna będzie taśma mocująca lub spinki plastikowe. Zawieszki montowane po kilka/kilkanaście sztuk na danej ulicy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904B06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B0071" w14:textId="6891EB9B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6CD208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C254B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3DBC3D2" w14:textId="77777777" w:rsidTr="007E3449">
                    <w:trPr>
                      <w:trHeight w:val="1050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8980CB" w14:textId="0024A056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1EB002" w14:textId="02336255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choinek na stelażu aluminiowym o wysokości 5 m.  w miejscach wskazanych przez Zamawiającego z podłączeniem do zasilania (choinka składa się z 5 elementów).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53026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904D23" w14:textId="03BAFEF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EC0D2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C0ADE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682F25E1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F4078F" w14:textId="489C0B5E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D2E299" w14:textId="1DD64F63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iluminacji w kształcie bombek o średnicy 3 m i dekoracji 3d o wym. 2,7x4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4BE5EB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C03625" w14:textId="240DEA11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EA181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ABCEF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61BB4F88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CD0E43" w14:textId="5FDED0B5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A92544" w14:textId="4590F061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Udekorowanie choinek światełkami w Al.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Rajczaka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na Placu Zwycięstwa (choinki żywe. Dwie tuje w Al.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Rajczaka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1 szt. Plac Zwycięstwa w Karsznicach. Montaż i demontaż wraz z zasilaniem)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75E2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szt.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B487D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CD06E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8D6DD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4C61CB12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E6F55C" w14:textId="60DAB2F4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FCC45" w14:textId="6E70E993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iluminacji – Ozdoba 3d kartka świąteczna 3m x 4,3m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C6AF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0FDE18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C8153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E19D71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1529491C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EB85544" w14:textId="22CBC5E4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0AC08D6" w14:textId="5D7C91D0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 projektora świetlnego w wskazanym miejscu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DBF29A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0AF6D743" w14:textId="0FF303EF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ACEC99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16FD797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2BB7FC0A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BE67536" w14:textId="32CBB819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lastRenderedPageBreak/>
                          <w:t>7</w:t>
                        </w:r>
                        <w:r w:rsid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32B81BF" w14:textId="262BB4A1" w:rsidR="00DB061E" w:rsidRPr="0087075A" w:rsidRDefault="00071534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Udekorowanie</w:t>
                        </w:r>
                        <w:r w:rsidR="00DB061E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mostka i altany  w parku miejskim, sznurami świetlnymi (montaż i 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demontaż</w:t>
                        </w:r>
                        <w:r w:rsidR="00DB061E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wraz z 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podłączeniem</w:t>
                        </w:r>
                        <w:r w:rsidR="00DB061E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zasilania)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71D29DE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4DC0D4D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74A25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1E43AF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71E75E23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C4CD657" w14:textId="606CB16D" w:rsidR="00DB061E" w:rsidRPr="0087075A" w:rsidRDefault="0087075A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78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C795C2" w14:textId="4120911E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Montaż i demontaż po uprzednim sprawdzeniu sprawności zawieszki na stelażu aluminiowym mocowanej do słupa na rondzie. Zawieszka 3d, wys. Ok. 3 m.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5C8F843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59E8F270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8A99332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7C80BD34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608292FB" w14:textId="77777777" w:rsidTr="007E3449">
                    <w:trPr>
                      <w:trHeight w:val="458"/>
                    </w:trPr>
                    <w:tc>
                      <w:tcPr>
                        <w:tcW w:w="54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89549E5" w14:textId="4E453462" w:rsidR="00DB061E" w:rsidRPr="0087075A" w:rsidRDefault="0087075A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856473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Udekorowanie żywej choinki sznurami </w:t>
                        </w:r>
                        <w:proofErr w:type="spellStart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led</w:t>
                        </w:r>
                        <w:proofErr w:type="spellEnd"/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i bombkami wraz z podłączeniem zasilania.</w:t>
                        </w:r>
                      </w:p>
                      <w:p w14:paraId="52409AC0" w14:textId="544B847F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Choinka o </w:t>
                        </w:r>
                        <w:r w:rsidR="00071534"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wysokości</w:t>
                        </w: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 xml:space="preserve"> ok. 7m. Demontaż urządzeń po stronie Wykonawcy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37D994F" w14:textId="6EB9F51A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546F3235" w14:textId="2DF43B4B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E5F22C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14:paraId="3888506F" w14:textId="77777777" w:rsidR="00DB061E" w:rsidRPr="0087075A" w:rsidRDefault="00DB061E" w:rsidP="00DB061E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4865284F" w14:textId="77777777" w:rsidTr="007E3449">
                    <w:trPr>
                      <w:trHeight w:val="383"/>
                    </w:trPr>
                    <w:tc>
                      <w:tcPr>
                        <w:tcW w:w="91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13546F" w14:textId="134ABCB1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 xml:space="preserve">ŁĄCZNA CENA OFERTOWA BRUTTO za 12 miesięcy- (suma poz. od 1 do </w:t>
                        </w:r>
                        <w:r w:rsid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79</w:t>
                        </w:r>
                        <w:r w:rsidRPr="0087075A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AF993" w14:textId="77777777" w:rsidR="00DB061E" w:rsidRPr="0087075A" w:rsidRDefault="00DB061E" w:rsidP="00DB061E">
                        <w:p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B061E" w:rsidRPr="0087075A" w14:paraId="7DB77A93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315"/>
                    </w:trPr>
                    <w:tc>
                      <w:tcPr>
                        <w:tcW w:w="10378" w:type="dxa"/>
                        <w:gridSpan w:val="7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6BC84978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Ponadto oświadczam(y) że:</w:t>
                        </w:r>
                      </w:p>
                    </w:tc>
                  </w:tr>
                  <w:tr w:rsidR="00DB061E" w:rsidRPr="0087075A" w14:paraId="4DCAFEA1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8535" w:type="dxa"/>
                        <w:gridSpan w:val="5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02E64E85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Czas usunięcia usterek w przypadku zgłoszenia pojedynczych nieświecących punktów świetlnych (proszę wpisać liczbę godzin do 96)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14:paraId="585EF432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62B7E339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8535" w:type="dxa"/>
                        <w:gridSpan w:val="5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7F973682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Czas usunięcia awarii całych nieświecących linii oświetlenia (proszę wpisać liczbę godzin do 48)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14:paraId="67131921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061E" w:rsidRPr="0087075A" w14:paraId="5730420A" w14:textId="77777777" w:rsidTr="007E344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48" w:type="dxa"/>
                      <w:trHeight w:val="684"/>
                    </w:trPr>
                    <w:tc>
                      <w:tcPr>
                        <w:tcW w:w="10378" w:type="dxa"/>
                        <w:gridSpan w:val="7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394F28D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 xml:space="preserve">Uwaga: </w:t>
                        </w:r>
                      </w:p>
                      <w:p w14:paraId="4429D3D4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1. W ramach wyszczególnionych w ww. kosztorysie prac należy wykonać również:</w:t>
                        </w:r>
                      </w:p>
                      <w:p w14:paraId="13B0463B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- wszelkie prace pomocnicze, tymczasowe i towarzyszące, które są konieczne do prawidłowego wykonania przez Wykonawcę usług ujętych w kosztorysie ofertowym, w tym prace pomocnicze, tymczasowe i towarzyszące wynikające ze specyfikacji technicznej;</w:t>
                        </w:r>
                      </w:p>
                      <w:p w14:paraId="6C831395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- wszelkie inne prace, czynności, badania (laboratoryjne), obowiązki i wymogi wynikające ze specyfikacji istotnych warunków zamówienia (umowy, specyfikacji technicznej, kosztorysu ofertowego).</w:t>
                        </w:r>
                      </w:p>
                      <w:p w14:paraId="7B932646" w14:textId="77777777" w:rsidR="00DB061E" w:rsidRPr="0087075A" w:rsidRDefault="00DB061E" w:rsidP="00DB061E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</w:pPr>
                        <w:r w:rsidRPr="0087075A">
                          <w:rPr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2. W przypadku składania oferty przez Wykonawców występujących wspólnie, kosztorys ofertowy  winien być podpisany przez pełnomocnika.</w:t>
                        </w:r>
                      </w:p>
                    </w:tc>
                  </w:tr>
                </w:tbl>
                <w:p w14:paraId="0F9146D2" w14:textId="7BD995D9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1FE1841" w14:textId="77777777" w:rsidR="00647330" w:rsidRPr="00642B7A" w:rsidRDefault="00647330" w:rsidP="00077171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077171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3E5BA805" w14:textId="77777777" w:rsidR="00647330" w:rsidRPr="00A54958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D498E9F" w14:textId="77777777" w:rsidR="00647330" w:rsidRPr="00A54958" w:rsidRDefault="00647330" w:rsidP="00647330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69F15C8D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077171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077171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077171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077171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2FF09344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647330" w:rsidSect="0092487D">
      <w:footerReference w:type="default" r:id="rId8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118B" w14:textId="77777777" w:rsidR="005D72A4" w:rsidRDefault="005D72A4">
      <w:r>
        <w:separator/>
      </w:r>
    </w:p>
  </w:endnote>
  <w:endnote w:type="continuationSeparator" w:id="0">
    <w:p w14:paraId="59343253" w14:textId="77777777" w:rsidR="005D72A4" w:rsidRDefault="005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E3449" w:rsidRPr="00F1652C" w:rsidRDefault="007E344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37BF" w14:textId="77777777" w:rsidR="005D72A4" w:rsidRDefault="005D72A4">
      <w:r>
        <w:separator/>
      </w:r>
    </w:p>
  </w:footnote>
  <w:footnote w:type="continuationSeparator" w:id="0">
    <w:p w14:paraId="2700263A" w14:textId="77777777" w:rsidR="005D72A4" w:rsidRDefault="005D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37101"/>
    <w:multiLevelType w:val="hybridMultilevel"/>
    <w:tmpl w:val="2BB6352C"/>
    <w:lvl w:ilvl="0" w:tplc="AC7CAA2E">
      <w:start w:val="4"/>
      <w:numFmt w:val="bullet"/>
      <w:lvlText w:val="–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3703F3"/>
    <w:multiLevelType w:val="hybridMultilevel"/>
    <w:tmpl w:val="734E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02591"/>
    <w:multiLevelType w:val="hybridMultilevel"/>
    <w:tmpl w:val="EC2E41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6F94526B"/>
    <w:multiLevelType w:val="hybridMultilevel"/>
    <w:tmpl w:val="1DC0B818"/>
    <w:lvl w:ilvl="0" w:tplc="AC7CAA2E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E70"/>
    <w:multiLevelType w:val="multilevel"/>
    <w:tmpl w:val="AEB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8"/>
  </w:num>
  <w:num w:numId="8">
    <w:abstractNumId w:val="21"/>
  </w:num>
  <w:num w:numId="9">
    <w:abstractNumId w:val="20"/>
  </w:num>
  <w:num w:numId="10">
    <w:abstractNumId w:val="28"/>
  </w:num>
  <w:num w:numId="11">
    <w:abstractNumId w:val="31"/>
  </w:num>
  <w:num w:numId="12">
    <w:abstractNumId w:val="50"/>
  </w:num>
  <w:num w:numId="13">
    <w:abstractNumId w:val="32"/>
  </w:num>
  <w:num w:numId="14">
    <w:abstractNumId w:val="40"/>
  </w:num>
  <w:num w:numId="15">
    <w:abstractNumId w:val="19"/>
  </w:num>
  <w:num w:numId="16">
    <w:abstractNumId w:val="38"/>
  </w:num>
  <w:num w:numId="17">
    <w:abstractNumId w:val="55"/>
  </w:num>
  <w:num w:numId="18">
    <w:abstractNumId w:val="49"/>
  </w:num>
  <w:num w:numId="19">
    <w:abstractNumId w:val="43"/>
  </w:num>
  <w:num w:numId="20">
    <w:abstractNumId w:val="46"/>
  </w:num>
  <w:num w:numId="21">
    <w:abstractNumId w:val="54"/>
  </w:num>
  <w:num w:numId="22">
    <w:abstractNumId w:val="33"/>
  </w:num>
  <w:num w:numId="23">
    <w:abstractNumId w:val="44"/>
  </w:num>
  <w:num w:numId="24">
    <w:abstractNumId w:val="51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3"/>
  </w:num>
  <w:num w:numId="29">
    <w:abstractNumId w:val="37"/>
  </w:num>
  <w:num w:numId="30">
    <w:abstractNumId w:val="27"/>
  </w:num>
  <w:num w:numId="31">
    <w:abstractNumId w:val="58"/>
  </w:num>
  <w:num w:numId="32">
    <w:abstractNumId w:val="39"/>
  </w:num>
  <w:num w:numId="33">
    <w:abstractNumId w:val="30"/>
  </w:num>
  <w:num w:numId="34">
    <w:abstractNumId w:val="62"/>
  </w:num>
  <w:num w:numId="35">
    <w:abstractNumId w:val="63"/>
  </w:num>
  <w:num w:numId="36">
    <w:abstractNumId w:val="45"/>
  </w:num>
  <w:num w:numId="37">
    <w:abstractNumId w:val="6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56"/>
  </w:num>
  <w:num w:numId="44">
    <w:abstractNumId w:val="26"/>
  </w:num>
  <w:num w:numId="45">
    <w:abstractNumId w:val="25"/>
  </w:num>
  <w:num w:numId="46">
    <w:abstractNumId w:val="47"/>
  </w:num>
  <w:num w:numId="47">
    <w:abstractNumId w:val="52"/>
  </w:num>
  <w:num w:numId="48">
    <w:abstractNumId w:val="24"/>
  </w:num>
  <w:num w:numId="49">
    <w:abstractNumId w:val="34"/>
  </w:num>
  <w:num w:numId="50">
    <w:abstractNumId w:val="36"/>
  </w:num>
  <w:num w:numId="51">
    <w:abstractNumId w:val="23"/>
  </w:num>
  <w:num w:numId="52">
    <w:abstractNumId w:val="59"/>
  </w:num>
  <w:num w:numId="53">
    <w:abstractNumId w:val="22"/>
  </w:num>
  <w:num w:numId="54">
    <w:abstractNumId w:val="16"/>
  </w:num>
  <w:num w:numId="55">
    <w:abstractNumId w:val="6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04097"/>
    <w:rsid w:val="0001298A"/>
    <w:rsid w:val="00012D83"/>
    <w:rsid w:val="000130F9"/>
    <w:rsid w:val="000156DD"/>
    <w:rsid w:val="00017A86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1534"/>
    <w:rsid w:val="00072739"/>
    <w:rsid w:val="000731B6"/>
    <w:rsid w:val="00075591"/>
    <w:rsid w:val="0007717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231A"/>
    <w:rsid w:val="000C2A94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32F1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2F68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0CED"/>
    <w:rsid w:val="003F387B"/>
    <w:rsid w:val="003F7183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355B"/>
    <w:rsid w:val="0043752D"/>
    <w:rsid w:val="00441F27"/>
    <w:rsid w:val="00444056"/>
    <w:rsid w:val="0044512B"/>
    <w:rsid w:val="00451FF1"/>
    <w:rsid w:val="00452F85"/>
    <w:rsid w:val="00453A0B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A5991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1C4F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2A4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563D0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2328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1BE7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2DD9"/>
    <w:rsid w:val="006D3698"/>
    <w:rsid w:val="006D5EEE"/>
    <w:rsid w:val="006E0C73"/>
    <w:rsid w:val="006E3805"/>
    <w:rsid w:val="006E4930"/>
    <w:rsid w:val="006E540E"/>
    <w:rsid w:val="006E5782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2757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B733F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3449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51D9"/>
    <w:rsid w:val="008357BA"/>
    <w:rsid w:val="00836921"/>
    <w:rsid w:val="00840D71"/>
    <w:rsid w:val="00844417"/>
    <w:rsid w:val="008449FE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075A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492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34DA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280A"/>
    <w:rsid w:val="00C230DA"/>
    <w:rsid w:val="00C23AE0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118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061E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3B22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09B6"/>
    <w:rsid w:val="00E753DA"/>
    <w:rsid w:val="00E768B9"/>
    <w:rsid w:val="00E777C6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073FB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1648"/>
    <w:rsid w:val="00F62534"/>
    <w:rsid w:val="00F625A7"/>
    <w:rsid w:val="00F627A7"/>
    <w:rsid w:val="00F672FF"/>
    <w:rsid w:val="00F705E2"/>
    <w:rsid w:val="00F7088B"/>
    <w:rsid w:val="00F7689B"/>
    <w:rsid w:val="00F8274D"/>
    <w:rsid w:val="00F87279"/>
    <w:rsid w:val="00F878CB"/>
    <w:rsid w:val="00F87E0C"/>
    <w:rsid w:val="00F90BE8"/>
    <w:rsid w:val="00F93B78"/>
    <w:rsid w:val="00F93CDC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2230</Words>
  <Characters>13382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</cp:revision>
  <cp:lastPrinted>2020-11-26T10:51:00Z</cp:lastPrinted>
  <dcterms:created xsi:type="dcterms:W3CDTF">2020-12-03T13:23:00Z</dcterms:created>
  <dcterms:modified xsi:type="dcterms:W3CDTF">2020-12-03T13:23:00Z</dcterms:modified>
</cp:coreProperties>
</file>